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方正大标宋简体" w:cs="方正大标宋简体"/>
          <w:sz w:val="40"/>
          <w:szCs w:val="40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Times New Roman" w:hAnsi="Times New Roman" w:eastAsia="方正小标宋简体"/>
          <w:sz w:val="36"/>
          <w:szCs w:val="44"/>
        </w:rPr>
      </w:pPr>
      <w:r>
        <w:rPr>
          <w:rFonts w:hint="eastAsia" w:ascii="Times New Roman" w:hAnsi="Times New Roman" w:eastAsia="方正小标宋简体" w:cs="方正大标宋简体"/>
          <w:sz w:val="36"/>
          <w:szCs w:val="40"/>
        </w:rPr>
        <w:t>品牌首店分级标准</w:t>
      </w:r>
      <w:r>
        <w:rPr>
          <w:rFonts w:hint="eastAsia" w:ascii="Times New Roman" w:hAnsi="Times New Roman" w:eastAsia="方正小标宋简体"/>
          <w:sz w:val="36"/>
          <w:szCs w:val="44"/>
        </w:rPr>
        <w:t>表</w:t>
      </w:r>
    </w:p>
    <w:tbl>
      <w:tblPr>
        <w:tblStyle w:val="2"/>
        <w:tblW w:w="90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405"/>
        <w:gridCol w:w="75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atLeast"/>
          <w:tblHeader/>
          <w:jc w:val="center"/>
        </w:trPr>
        <w:tc>
          <w:tcPr>
            <w:tcW w:w="1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color w:val="111111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黑体" w:cs="等线"/>
                <w:color w:val="111111"/>
                <w:kern w:val="0"/>
                <w:sz w:val="28"/>
                <w:szCs w:val="24"/>
              </w:rPr>
              <w:t>类别</w:t>
            </w:r>
          </w:p>
        </w:tc>
        <w:tc>
          <w:tcPr>
            <w:tcW w:w="7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111111"/>
                <w:kern w:val="0"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等线"/>
                <w:color w:val="111111"/>
                <w:kern w:val="0"/>
                <w:sz w:val="28"/>
                <w:szCs w:val="24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29" w:hRule="atLeast"/>
          <w:jc w:val="center"/>
        </w:trPr>
        <w:tc>
          <w:tcPr>
            <w:tcW w:w="1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  <w:t>全球首店、亚洲首店</w:t>
            </w:r>
          </w:p>
        </w:tc>
        <w:tc>
          <w:tcPr>
            <w:tcW w:w="7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 w:cs="仿宋_GB2312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国内外品牌在全球或亚洲设立的第1家线下实体零售或餐饮门店，且该品牌须入选以下榜单之一：世界品牌实验室发布的《世界品牌500强榜单》《亚洲品牌500强》《中国500最具价值品牌排行榜》，中国企业联合会、中国企业家协会发布的《中国服务业企业500强榜单》，福布斯发布的《线上最受欢迎奢侈品牌TOP10》，胡润研究院发布的《胡润品牌榜》，品牌联盟发布的《中国品牌500强》，德勤发布的《全球奢侈品力量排行榜》，品牌金融发布的《全球最有价值零售品牌榜》《</w:t>
            </w:r>
            <w:r>
              <w:rPr>
                <w:rFonts w:hint="eastAsia" w:ascii="Times New Roman" w:hAnsi="Times New Roman" w:eastAsia="仿宋_GB2312" w:cs="仿宋_GB2312"/>
                <w:bCs/>
                <w:color w:val="000000"/>
                <w:sz w:val="24"/>
                <w:szCs w:val="24"/>
                <w:shd w:val="clear" w:color="auto" w:fill="FFFFFF"/>
              </w:rPr>
              <w:t>全球商业服务品牌价值100强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78" w:hRule="atLeast"/>
          <w:jc w:val="center"/>
        </w:trPr>
        <w:tc>
          <w:tcPr>
            <w:tcW w:w="140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  <w:t>中国（内地）首店</w:t>
            </w:r>
            <w:r>
              <w:rPr>
                <w:rFonts w:hint="eastAsia" w:ascii="Times New Roman" w:hAnsi="Times New Roman" w:eastAsia="黑体" w:cs="黑体"/>
                <w:color w:val="111111"/>
                <w:kern w:val="0"/>
                <w:sz w:val="18"/>
                <w:szCs w:val="18"/>
              </w:rPr>
              <w:t>（三个条件满足其一）</w:t>
            </w:r>
          </w:p>
        </w:tc>
        <w:tc>
          <w:tcPr>
            <w:tcW w:w="7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1．符合全球、亚洲首店品牌清单内的品牌在中国（内地）设立的第1家线下实体门店。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503" w:hRule="atLeast"/>
          <w:jc w:val="center"/>
        </w:trPr>
        <w:tc>
          <w:tcPr>
            <w:tcW w:w="14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2．知名国外品牌在中国（内地）设立的第1家线下实体门店。该品牌须在全球知名消费城市（纽约、洛杉矶、伦敦、巴黎、米兰、迪拜、日内瓦、苏黎世、都柏林、哥本哈根、悉尼、东京、香港、新加坡、首尔）开设3家（含）以上门店；同时，获得国家级媒体平台或《VOGUE》《ELLE》《时尚芭莎》《时尚COSMO》《GQ》《T Magazine》等知名时尚媒体对该品牌宣传5次（含）以上。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76" w:hRule="atLeast"/>
          <w:jc w:val="center"/>
        </w:trPr>
        <w:tc>
          <w:tcPr>
            <w:tcW w:w="14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知名国内品牌在中国（内地）设立的第1家线下实体门店。原则上该品牌须入选以下榜单之一：中国连锁经营协会发布的《中国时尚零售百强榜单》《中国特许连锁百强榜单》《中国超市百强榜单》，胡润研究院发布的《中国瞪羚企业榜》《中国最具历史文化底蕴品牌榜》，美团发布的《黑珍珠餐厅指南》《大众点评必吃榜单》，商务部发布的中华老字号名单，</w:t>
            </w:r>
            <w:r>
              <w:rPr>
                <w:rFonts w:hint="eastAsia" w:ascii="Times New Roman" w:hAnsi="Times New Roman" w:eastAsia="仿宋_GB2312" w:cs="仿宋_GB2312"/>
                <w:color w:val="404040"/>
                <w:sz w:val="24"/>
                <w:szCs w:val="24"/>
              </w:rPr>
              <w:t>中国连锁经营协会联合德勤共同发布的《中国网络零售TOP100榜单》，中国饭店协会与新华网联合发布的《2021-2022中国餐饮业100家领跑企业名单》。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21" w:hRule="atLeast"/>
          <w:jc w:val="center"/>
        </w:trPr>
        <w:tc>
          <w:tcPr>
            <w:tcW w:w="140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  <w:t>华中首店</w:t>
            </w:r>
          </w:p>
        </w:tc>
        <w:tc>
          <w:tcPr>
            <w:tcW w:w="7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1111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111111"/>
                <w:kern w:val="0"/>
                <w:sz w:val="24"/>
                <w:szCs w:val="24"/>
              </w:rPr>
              <w:t>符合上文全球首店、亚洲首店、中国（内地）首店品牌清单内的品牌在武汉设立的华中地区第1家线下实体门店。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40" w:hRule="atLeast"/>
          <w:jc w:val="center"/>
        </w:trPr>
        <w:tc>
          <w:tcPr>
            <w:tcW w:w="140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  <w:t>武汉首店</w:t>
            </w:r>
          </w:p>
        </w:tc>
        <w:tc>
          <w:tcPr>
            <w:tcW w:w="7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仿宋_GB2312"/>
                <w:color w:val="1111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111111"/>
                <w:kern w:val="0"/>
                <w:sz w:val="24"/>
                <w:szCs w:val="24"/>
              </w:rPr>
              <w:t>符合上文全球首店、亚洲首店、中国（内地）首店、华中首店品牌清单内的品牌在武汉市设立的第1家线下实体门店。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74" w:hRule="atLeast"/>
          <w:jc w:val="center"/>
        </w:trPr>
        <w:tc>
          <w:tcPr>
            <w:tcW w:w="1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  <w:t>旗舰店</w:t>
            </w:r>
          </w:p>
        </w:tc>
        <w:tc>
          <w:tcPr>
            <w:tcW w:w="7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充分体现品牌形象，面积在500平方米以上（含）的独立门店或位于商业载体内、面积在300平方米以上（含）的门店，且门店面积超过该品牌在武汉开设的其他实体店，商品类别涵盖该品牌当前主要商品线的零售业态实体门店。门店每年至少代表品牌举办一次与旗舰店定位匹配的新品发布活动；获得全国性媒体平台或知名时尚媒体宣传3次（含）以上，同时品牌须满足前述品牌清单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99" w:hRule="atLeast"/>
          <w:jc w:val="center"/>
        </w:trPr>
        <w:tc>
          <w:tcPr>
            <w:tcW w:w="1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黑体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111111"/>
                <w:kern w:val="0"/>
                <w:sz w:val="24"/>
                <w:szCs w:val="24"/>
              </w:rPr>
              <w:t>创新概念店</w:t>
            </w:r>
          </w:p>
        </w:tc>
        <w:tc>
          <w:tcPr>
            <w:tcW w:w="75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仿宋_GB2312"/>
                <w:color w:val="1111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将消费概念与品牌相结合，充分体现品牌文化主张，与该品牌其它门店相较，在风格、形象、产品、服务等方面有显著差异化特色的零售或餐饮门店，同时品牌须满足前述品牌清单要求。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12" w:hRule="atLeast"/>
          <w:jc w:val="center"/>
        </w:trPr>
        <w:tc>
          <w:tcPr>
            <w:tcW w:w="9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480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注：申报亚洲首店，品牌或品牌持有方须在除亚洲外的其他大洲开设有实体门店；申报中国（内地）首店，品牌或品牌持有方须在除中国（内地）外的其他国家或地区开设有实体门店；申报华中首店，品牌或品牌持有方须在除华中地区以外的其他城市开设有实体门店；申报武汉首店，品牌或品牌持有方须在除武汉以外的其他城市开设有实体门店。本政策华中地区包括湖北、河南和湖南三省。《品牌首店分级标准表》中的榜单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以2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  <w:t>-2023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年已发布的为依据。</w:t>
            </w:r>
          </w:p>
        </w:tc>
      </w:tr>
    </w:tbl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61CF4D"/>
    <w:multiLevelType w:val="singleLevel"/>
    <w:tmpl w:val="AA61CF4D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B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zj</cp:lastModifiedBy>
  <dcterms:modified xsi:type="dcterms:W3CDTF">2023-09-22T00:46:16Z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