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 w:cs="Times New Roman"/>
          <w:color w:val="auto"/>
          <w:sz w:val="36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600" w:lineRule="auto"/>
        <w:jc w:val="center"/>
        <w:rPr>
          <w:rFonts w:ascii="Times New Roman" w:hAnsi="Times New Roman" w:eastAsia="方正小标宋简体" w:cs="Times New Roman"/>
          <w:color w:val="auto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促进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市场体系建设专项资金（首店）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项目拟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分配表</w:t>
      </w:r>
    </w:p>
    <w:tbl>
      <w:tblPr>
        <w:tblStyle w:val="4"/>
        <w:tblW w:w="14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97"/>
        <w:gridCol w:w="3567"/>
        <w:gridCol w:w="3402"/>
        <w:gridCol w:w="439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</w:rPr>
              <w:t>区域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</w:rPr>
              <w:t>企业名称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  <w:lang w:eastAsia="zh-CN"/>
              </w:rPr>
              <w:t>首店（创新概念店）</w:t>
            </w: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</w:rPr>
              <w:t>类型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ind w:firstLine="204"/>
              <w:rPr>
                <w:rFonts w:ascii="Times New Roman" w:hAnsi="Times New Roman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</w:rPr>
              <w:t>门店地址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  <w:lang w:eastAsia="zh-CN"/>
              </w:rPr>
              <w:t>拟分配资金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32"/>
                <w:szCs w:val="32"/>
              </w:rPr>
              <w:t>江岸区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湖北竞速商贸有限公司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NIke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华中地区创新概念店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湖北省武汉市武昌区武珞路598号武商梦时代负一层A010-A012号商铺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江汉区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武汉顽徒餐饮有限公司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全国（内地）首店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武汉市江汉区江汉路43号1层-4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武昌区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小大董武汉餐饮有限公司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华中首店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武商梦时代广场B区6层B-601，B-602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12.5万元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4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67.5万元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7A1F"/>
    <w:rsid w:val="507F2A9E"/>
    <w:rsid w:val="79C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2023-11-20T03:31:03Z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