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pStyle w:val="2"/>
        <w:bidi w:val="0"/>
        <w:ind w:left="0" w:firstLineChars="0" w:firstLine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p>
      <w:pPr>
        <w:pStyle w:val="1"/>
        <w:jc w:val="center"/>
        <w:rPr>
          <w:rFonts w:ascii="Times New Roman" w:eastAsia="方正小标宋_GBK" w:cs="方正小标宋_GBK" w:hAnsi="Times New Roman" w:hint="eastAsia"/>
          <w:sz w:val="44"/>
          <w:szCs w:val="44"/>
          <w:u w:val="none"/>
          <w:lang w:val="en-US" w:eastAsia="zh-CN" w:bidi="ar-SA"/>
          <w:highlight w:val="none"/>
        </w:rPr>
      </w:pPr>
      <w:r>
        <w:rPr>
          <w:rFonts w:ascii="Times New Roman" w:eastAsia="方正小标宋_GBK" w:cs="方正小标宋_GBK" w:hAnsi="Times New Roman" w:hint="eastAsia"/>
          <w:sz w:val="44"/>
          <w:szCs w:val="44"/>
          <w:u w:val="none"/>
          <w:lang w:val="en-US" w:eastAsia="zh-CN" w:bidi="ar-SA"/>
          <w:highlight w:val="none"/>
        </w:rPr>
        <w:t>武汉市消费新业态新模式新场景</w:t>
      </w:r>
    </w:p>
    <w:p>
      <w:pPr>
        <w:pStyle w:val="1"/>
        <w:jc w:val="center"/>
        <w:rPr>
          <w:rFonts w:ascii="Times New Roman" w:eastAsia="方正小标宋_GBK" w:cs="方正小标宋_GBK" w:hAnsi="Times New Roman" w:hint="eastAsia"/>
          <w:sz w:val="44"/>
          <w:szCs w:val="44"/>
          <w:u w:val="none"/>
          <w:lang w:val="en-US" w:eastAsia="zh-CN" w:bidi="ar-SA"/>
          <w:highlight w:val="none"/>
        </w:rPr>
      </w:pPr>
      <w:r>
        <w:rPr>
          <w:rFonts w:ascii="Times New Roman" w:eastAsia="方正小标宋_GBK" w:cs="方正小标宋_GBK" w:hAnsi="Times New Roman" w:hint="eastAsia"/>
          <w:sz w:val="44"/>
          <w:szCs w:val="44"/>
          <w:u w:val="none"/>
          <w:lang w:val="en-US" w:eastAsia="zh-CN" w:bidi="ar-SA"/>
          <w:highlight w:val="none"/>
        </w:rPr>
        <w:t>（支持健全首发经济服务体系）</w:t>
      </w:r>
    </w:p>
    <w:p>
      <w:pPr>
        <w:pStyle w:val="1"/>
        <w:jc w:val="center"/>
        <w:rPr>
          <w:rFonts w:ascii="Times New Roman" w:eastAsia="方正小标宋_GBK" w:cs="方正小标宋_GBK" w:hAnsi="Times New Roman" w:hint="eastAsia"/>
          <w:szCs w:val="44"/>
          <w:u w:val="none"/>
          <w:lang w:bidi="ar-SA"/>
          <w:highlight w:val="none"/>
        </w:rPr>
      </w:pPr>
      <w:r>
        <w:rPr>
          <w:rFonts w:ascii="Times New Roman" w:eastAsia="方正小标宋_GBK" w:cs="方正小标宋_GBK" w:hAnsi="Times New Roman" w:hint="eastAsia"/>
          <w:sz w:val="44"/>
          <w:szCs w:val="44"/>
          <w:u w:val="none"/>
          <w:lang w:val="en-US" w:eastAsia="zh-CN" w:bidi="ar-SA"/>
          <w:highlight w:val="none"/>
        </w:rPr>
        <w:t>试点</w:t>
      </w:r>
      <w:r>
        <w:rPr>
          <w:rFonts w:ascii="Times New Roman" w:eastAsia="方正小标宋_GBK" w:cs="方正小标宋_GBK" w:hAnsi="Times New Roman"/>
          <w:sz w:val="44"/>
          <w:szCs w:val="44"/>
          <w:u w:val="none"/>
          <w:lang w:val="en-US" w:eastAsia="zh-CN" w:bidi="ar-SA"/>
          <w:highlight w:val="none"/>
        </w:rPr>
        <w:t>项目</w:t>
      </w:r>
      <w:r>
        <w:rPr>
          <w:rFonts w:ascii="Times New Roman" w:eastAsia="方正小标宋_GBK" w:cs="方正小标宋_GBK" w:hAnsi="Times New Roman" w:hint="eastAsia"/>
          <w:sz w:val="44"/>
          <w:szCs w:val="44"/>
          <w:u w:val="none"/>
          <w:lang w:val="en-US" w:eastAsia="zh-CN" w:bidi="ar-SA"/>
          <w:highlight w:val="none"/>
        </w:rPr>
        <w:t>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方正黑体_GBK" w:cs="方正黑体_GBK" w:hAnsi="Times New Roman" w:hint="eastAsia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方正黑体_GBK" w:cs="方正黑体_GBK" w:hAnsi="Times New Roman" w:hint="eastAsia"/>
          <w:sz w:val="32"/>
          <w:szCs w:val="32"/>
          <w:u w:val="none"/>
          <w:lang w:bidi="ar-SA"/>
          <w:highlight w:val="none"/>
        </w:rPr>
        <w:t>一、申报条件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/>
        </w:rPr>
      </w:pPr>
      <w:r>
        <w:rPr>
          <w:rFonts w:hint="eastAsia"/>
        </w:rPr>
        <w:t>（一）申报主体条件</w:t>
      </w:r>
    </w:p>
    <w:p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eastAsia="仿宋_GB2312" w:hAnsi="Times New Roman"/>
          <w:sz w:val="32"/>
          <w:szCs w:val="32"/>
          <w:u w:val="none"/>
          <w:highlight w:val="none"/>
        </w:rPr>
      </w:pP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1</w:t>
      </w:r>
      <w:r>
        <w:rPr>
          <w:rFonts w:ascii="Times New Roman" w:hAnsi="Times New Roman" w:hint="eastAsia"/>
          <w:sz w:val="32"/>
          <w:szCs w:val="32"/>
          <w:u w:val="none"/>
          <w:lang w:eastAsia="zh-CN"/>
          <w:highlight w:val="none"/>
        </w:rPr>
        <w:t>．</w:t>
      </w: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申报主体管理制度健全，经营状况良好，无不良信用记录，依法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登记</w:t>
      </w: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注册，经营证照齐备有效。</w:t>
      </w:r>
    </w:p>
    <w:p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eastAsia="仿宋_GB2312" w:hAnsi="Times New Roman"/>
          <w:sz w:val="32"/>
          <w:szCs w:val="32"/>
          <w:u w:val="none"/>
          <w:highlight w:val="none"/>
        </w:rPr>
      </w:pP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2</w:t>
      </w:r>
      <w:r>
        <w:rPr>
          <w:rFonts w:ascii="Times New Roman" w:hAnsi="Times New Roman" w:hint="eastAsia"/>
          <w:sz w:val="32"/>
          <w:szCs w:val="32"/>
          <w:u w:val="none"/>
          <w:lang w:eastAsia="zh-CN"/>
          <w:highlight w:val="none"/>
        </w:rPr>
        <w:t>．</w:t>
      </w: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申报主体具备承担并完成申报项目的能力，应为项目的实际投资或运营主体。</w:t>
      </w:r>
    </w:p>
    <w:p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eastAsia="仿宋_GB2312" w:hAnsi="Times New Roman"/>
          <w:sz w:val="32"/>
          <w:szCs w:val="32"/>
          <w:u w:val="none"/>
          <w:highlight w:val="none"/>
        </w:rPr>
      </w:pP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3</w:t>
      </w:r>
      <w:r>
        <w:rPr>
          <w:rFonts w:ascii="Times New Roman" w:hAnsi="Times New Roman" w:hint="eastAsia"/>
          <w:sz w:val="32"/>
          <w:szCs w:val="32"/>
          <w:u w:val="none"/>
          <w:lang w:eastAsia="zh-CN"/>
          <w:highlight w:val="none"/>
        </w:rPr>
        <w:t>．</w:t>
      </w: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申报主体遵守国家法律法规，具有独立且健全完善的财务管理制度，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bidi="ar-SA"/>
          <w:highlight w:val="none"/>
        </w:rPr>
        <w:t>信用及财务状况良好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，</w:t>
      </w: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积极配合主管部门或第三方评价机构开展绩效评价工作。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hAnsi="Times New Roman"/>
          <w:sz w:val="32"/>
          <w:szCs w:val="32"/>
          <w:u w:val="none"/>
          <w:lang w:val="en-US" w:eastAsia="zh-CN"/>
          <w:highlight w:val="none"/>
        </w:rPr>
        <w:t>4</w:t>
      </w:r>
      <w:r>
        <w:rPr>
          <w:rFonts w:ascii="Times New Roman" w:hAnsi="Times New Roman" w:hint="eastAsia"/>
          <w:sz w:val="32"/>
          <w:szCs w:val="32"/>
          <w:u w:val="none"/>
          <w:lang w:val="en-US" w:eastAsia="zh-CN"/>
          <w:highlight w:val="none"/>
        </w:rPr>
        <w:t>．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同一个项目涉及多个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bidi="ar-SA"/>
          <w:highlight w:val="none"/>
        </w:rPr>
        <w:t>主体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时，应确定一个主体进行申报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bidi="ar-SA"/>
          <w:highlight w:val="none"/>
        </w:rPr>
        <w:t>，明确资金分配方式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，并提交其他主体授权其申报资金支持的授权函（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bidi="ar-SA"/>
          <w:highlight w:val="none"/>
        </w:rPr>
        <w:t>须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说明与项目及申报主体的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val="en-US" w:eastAsia="zh-CN" w:bidi="ar-SA"/>
          <w:highlight w:val="none"/>
        </w:rPr>
        <w:t>关系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方正黑体_GBK" w:cs="方正黑体_GBK" w:hAnsi="Times New Roman" w:hint="eastAsia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5</w:t>
      </w:r>
      <w:r>
        <w:rPr>
          <w:rFonts w:ascii="Times New Roman" w:hAnsi="Times New Roman" w:hint="eastAsia"/>
          <w:sz w:val="32"/>
          <w:szCs w:val="32"/>
          <w:u w:val="none"/>
          <w:lang w:eastAsia="zh-CN"/>
          <w:highlight w:val="none"/>
        </w:rPr>
        <w:t>．</w:t>
      </w: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申报主体能够及时、准确报送项目运营相关信息，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愿意配合各级商务、财政部门按规定及时准确填报相关信息等工作。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bidi="ar-SA"/>
          <w:highlight w:val="none"/>
        </w:rPr>
        <w:t>6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．其他有关条件。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cs="Times New Roman" w:hAnsi="Times New Roman" w:hint="eastAsia"/>
        </w:rPr>
      </w:pPr>
      <w:r>
        <w:rPr>
          <w:rFonts w:ascii="Times New Roman" w:cs="Times New Roman" w:hAnsi="Times New Roman" w:hint="eastAsia"/>
        </w:rPr>
        <w:t>（二）申报项目条件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hAnsi="Times New Roman"/>
          <w:sz w:val="32"/>
          <w:szCs w:val="32"/>
          <w:u w:val="none"/>
          <w:lang w:eastAsia="zh-CN"/>
          <w:highlight w:val="none"/>
        </w:rPr>
      </w:pPr>
      <w:r>
        <w:rPr>
          <w:rFonts w:ascii="Times New Roman" w:eastAsia="方正黑体_GBK" w:cs="方正黑体_GBK" w:hAnsi="Times New Roman" w:hint="eastAsia"/>
          <w:sz w:val="32"/>
          <w:szCs w:val="32"/>
          <w:u w:val="none"/>
          <w:lang w:bidi="ar-SA"/>
          <w:highlight w:val="none"/>
        </w:rPr>
        <w:t>1</w:t>
      </w:r>
      <w:r>
        <w:rPr>
          <w:rFonts w:ascii="Times New Roman" w:eastAsia="方正黑体_GBK" w:cs="方正黑体_GBK" w:hAnsi="Times New Roman" w:hint="eastAsia"/>
          <w:sz w:val="32"/>
          <w:szCs w:val="32"/>
          <w:u w:val="none"/>
          <w:lang w:eastAsia="zh-CN" w:bidi="ar-SA"/>
          <w:highlight w:val="none"/>
        </w:rPr>
        <w:t>．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bidi="ar-SA"/>
          <w:highlight w:val="none"/>
        </w:rPr>
        <w:t>项目应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val="en-US" w:eastAsia="zh-CN" w:bidi="ar-SA"/>
          <w:highlight w:val="none"/>
        </w:rPr>
        <w:t>选择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bidi="ar-SA"/>
          <w:highlight w:val="none"/>
        </w:rPr>
        <w:t>一个支持方向申报，不得以同一项目内容重复申报或多头申报，不得刻意整合进行政策资金拼盘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，</w:t>
      </w:r>
      <w:r>
        <w:rPr>
          <w:rFonts w:ascii="Times New Roman" w:eastAsia="仿宋_GB2312" w:cs="仿宋_GB2312" w:hAnsi="Times New Roman" w:hint="eastAsia"/>
          <w:sz w:val="32"/>
          <w:u w:val="none"/>
          <w:lang w:val="en-US" w:eastAsia="zh-CN" w:bidi="ar-SA"/>
          <w:highlight w:val="none"/>
        </w:rPr>
        <w:t>不得弄虚作假骗取、套取补助资金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bidi="ar-SA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hAnsi="Times New Roman"/>
          <w:sz w:val="32"/>
          <w:szCs w:val="32"/>
          <w:u w:val="none"/>
          <w:lang w:eastAsia="zh-CN"/>
          <w:highlight w:val="none"/>
        </w:rPr>
      </w:pPr>
      <w:r>
        <w:rPr>
          <w:rFonts w:ascii="Times New Roman" w:eastAsia="方正黑体_GBK" w:cs="方正黑体_GBK" w:hAnsi="Times New Roman" w:hint="eastAsia"/>
          <w:sz w:val="32"/>
          <w:szCs w:val="32"/>
          <w:u w:val="none"/>
          <w:lang w:bidi="ar-SA"/>
          <w:highlight w:val="none"/>
        </w:rPr>
        <w:t>2</w:t>
      </w:r>
      <w:r>
        <w:rPr>
          <w:rFonts w:ascii="Times New Roman" w:eastAsia="方正黑体_GBK" w:cs="方正黑体_GBK" w:hAnsi="Times New Roman" w:hint="eastAsia"/>
          <w:sz w:val="32"/>
          <w:szCs w:val="32"/>
          <w:u w:val="none"/>
          <w:lang w:eastAsia="zh-CN" w:bidi="ar-SA"/>
          <w:highlight w:val="none"/>
        </w:rPr>
        <w:t>．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申报</w:t>
      </w:r>
      <w:r>
        <w:rPr>
          <w:rFonts w:ascii="Times New Roman" w:eastAsia="仿宋_GB2312" w:hAnsi="Times New Roman"/>
          <w:sz w:val="32"/>
          <w:szCs w:val="32"/>
          <w:u w:val="none"/>
          <w:lang w:eastAsia="zh-CN"/>
          <w:highlight w:val="none"/>
        </w:rPr>
        <w:t>项目内</w:t>
      </w:r>
      <w:r>
        <w:rPr>
          <w:rFonts w:hint="eastAsia"/>
          <w:sz w:val="32"/>
          <w:szCs w:val="32"/>
          <w:u w:val="none"/>
          <w:lang w:eastAsia="zh-CN"/>
          <w:highlight w:val="none"/>
        </w:rPr>
        <w:t>涉及</w:t>
      </w:r>
      <w:r>
        <w:rPr>
          <w:rFonts w:ascii="Times New Roman" w:eastAsia="仿宋_GB2312" w:hAnsi="Times New Roman"/>
          <w:sz w:val="32"/>
          <w:szCs w:val="32"/>
          <w:u w:val="none"/>
          <w:lang w:eastAsia="zh-CN"/>
          <w:highlight w:val="none"/>
        </w:rPr>
        <w:t>的首店、首发、首秀、首展等具体内容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需</w:t>
      </w: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满足《</w:t>
      </w:r>
      <w:r>
        <w:rPr>
          <w:rFonts w:ascii="Times New Roman" w:eastAsia="仿宋_GB2312" w:hAnsi="Times New Roman" w:hint="eastAsia"/>
          <w:sz w:val="32"/>
          <w:szCs w:val="32"/>
          <w:u w:val="none"/>
          <w:highlight w:val="none"/>
        </w:rPr>
        <w:t>首发经济名词解释</w:t>
      </w: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》（见附件）的相关要求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cs="仿宋_GB2312" w:hAnsi="Times New Roman" w:hint="eastAsia"/>
          <w:sz w:val="32"/>
          <w:u w:val="none"/>
          <w:lang w:val="en-US" w:eastAsia="zh-CN" w:bidi="ar-SA"/>
          <w:highlight w:val="none"/>
        </w:rPr>
      </w:pPr>
      <w:r>
        <w:rPr>
          <w:rFonts w:ascii="Times New Roman" w:eastAsia="仿宋_GB2312" w:hAnsi="Times New Roman"/>
          <w:sz w:val="32"/>
          <w:szCs w:val="32"/>
          <w:u w:val="none"/>
          <w:lang w:eastAsia="zh-CN"/>
          <w:highlight w:val="none"/>
        </w:rPr>
        <w:t>3</w:t>
      </w:r>
      <w:r>
        <w:rPr>
          <w:rFonts w:ascii="Times New Roman" w:hAnsi="Times New Roman" w:hint="eastAsia"/>
          <w:sz w:val="32"/>
          <w:szCs w:val="32"/>
          <w:u w:val="none"/>
          <w:lang w:eastAsia="zh-CN"/>
          <w:highlight w:val="none"/>
        </w:rPr>
        <w:t>．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项目</w:t>
      </w:r>
      <w:r>
        <w:rPr>
          <w:rFonts w:ascii="Times New Roman" w:eastAsia="仿宋_GB2312" w:cs="仿宋_GB2312" w:hAnsi="Times New Roman" w:hint="eastAsia"/>
          <w:sz w:val="32"/>
          <w:u w:val="none"/>
          <w:lang w:val="en-US" w:eastAsia="zh-CN" w:bidi="ar-SA"/>
          <w:highlight w:val="none"/>
        </w:rPr>
        <w:t>申报奖补范围为2025年</w:t>
      </w:r>
      <w:r>
        <w:rPr>
          <w:rFonts w:ascii="Times New Roman" w:eastAsia="仿宋_GB2312" w:cs="仿宋_GB2312" w:hAnsi="Times New Roman"/>
          <w:sz w:val="32"/>
          <w:u w:val="none"/>
          <w:lang w:val="en-US" w:eastAsia="zh-CN" w:bidi="ar-SA"/>
          <w:highlight w:val="none"/>
        </w:rPr>
        <w:t>9</w:t>
      </w:r>
      <w:r>
        <w:rPr>
          <w:rFonts w:ascii="Times New Roman" w:eastAsia="仿宋_GB2312" w:cs="仿宋_GB2312" w:hAnsi="Times New Roman" w:hint="eastAsia"/>
          <w:sz w:val="32"/>
          <w:u w:val="none"/>
          <w:lang w:val="en-US" w:eastAsia="zh-CN" w:bidi="ar-SA"/>
          <w:highlight w:val="none"/>
        </w:rPr>
        <w:t>月</w:t>
      </w:r>
      <w:r>
        <w:rPr>
          <w:rFonts w:ascii="Times New Roman" w:eastAsia="仿宋_GB2312" w:cs="仿宋_GB2312" w:hAnsi="Times New Roman"/>
          <w:sz w:val="32"/>
          <w:u w:val="none"/>
          <w:lang w:val="en-US" w:eastAsia="zh-CN" w:bidi="ar-SA"/>
          <w:highlight w:val="none"/>
        </w:rPr>
        <w:t>30日以后</w:t>
      </w:r>
      <w:r>
        <w:rPr>
          <w:rFonts w:ascii="Times New Roman" w:eastAsia="仿宋_GB2312" w:cs="仿宋_GB2312" w:hAnsi="Times New Roman" w:hint="eastAsia"/>
          <w:sz w:val="32"/>
          <w:u w:val="none"/>
          <w:lang w:val="en-US" w:eastAsia="zh-CN" w:bidi="ar-SA"/>
          <w:highlight w:val="none"/>
        </w:rPr>
        <w:t>开始实施的相关内容，申报项目应为在建和待建项目，原则上不支持2025年9月30日前</w:t>
      </w:r>
      <w:r>
        <w:rPr>
          <w:rFonts w:ascii="Times New Roman" w:eastAsia="仿宋_GB2312" w:cs="仿宋_GB2312" w:hAnsi="Times New Roman"/>
          <w:sz w:val="32"/>
          <w:u w:val="none"/>
          <w:lang w:val="en-US" w:eastAsia="zh-CN" w:bidi="ar-SA"/>
          <w:highlight w:val="none"/>
        </w:rPr>
        <w:t>已</w:t>
      </w:r>
      <w:r>
        <w:rPr>
          <w:rFonts w:ascii="Times New Roman" w:eastAsia="仿宋_GB2312" w:cs="仿宋_GB2312" w:hAnsi="Times New Roman" w:hint="eastAsia"/>
          <w:sz w:val="32"/>
          <w:u w:val="none"/>
          <w:lang w:val="en-US" w:eastAsia="zh-CN" w:bidi="ar-SA"/>
          <w:highlight w:val="none"/>
        </w:rPr>
        <w:t>投入</w:t>
      </w:r>
      <w:r>
        <w:rPr>
          <w:rFonts w:ascii="Times New Roman" w:eastAsia="仿宋_GB2312" w:cs="仿宋_GB2312" w:hAnsi="Times New Roman"/>
          <w:sz w:val="32"/>
          <w:u w:val="none"/>
          <w:lang w:val="en-US" w:eastAsia="zh-CN" w:bidi="ar-SA"/>
          <w:highlight w:val="none"/>
        </w:rPr>
        <w:t>运营</w:t>
      </w:r>
      <w:r>
        <w:rPr>
          <w:rFonts w:ascii="Times New Roman" w:eastAsia="仿宋_GB2312" w:cs="仿宋_GB2312" w:hAnsi="Times New Roman" w:hint="eastAsia"/>
          <w:sz w:val="32"/>
          <w:u w:val="none"/>
          <w:lang w:val="en-US" w:eastAsia="zh-CN" w:bidi="ar-SA"/>
          <w:highlight w:val="none"/>
        </w:rPr>
        <w:t>项目和预计投入营业时间晚于2027年9月30日前的项目。对于在建项目，仅支持政策发布后（2025年9月30日之后）发生的投资额。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方正黑体_GBK" w:cs="方正黑体_GBK" w:hAnsi="Times New Roman" w:hint="eastAsia"/>
          <w:sz w:val="32"/>
          <w:szCs w:val="32"/>
          <w:u w:val="none"/>
          <w:lang w:bidi="ar-SA"/>
          <w:highlight w:val="none"/>
        </w:rPr>
        <w:t>4</w:t>
      </w:r>
      <w:r>
        <w:rPr>
          <w:rFonts w:ascii="Times New Roman" w:eastAsia="方正黑体_GBK" w:cs="方正黑体_GBK" w:hAnsi="Times New Roman" w:hint="eastAsia"/>
          <w:sz w:val="32"/>
          <w:szCs w:val="32"/>
          <w:u w:val="none"/>
          <w:lang w:eastAsia="zh-CN" w:bidi="ar-SA"/>
          <w:highlight w:val="none"/>
        </w:rPr>
        <w:t>．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项目资金来源渠道明确，并有合理的支出计划安排。实际有效投资主要指契合消费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eastAsia="zh-CN" w:bidi="ar-SA"/>
          <w:highlight w:val="none"/>
        </w:rPr>
        <w:t>“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三新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eastAsia="zh-CN" w:bidi="ar-SA"/>
          <w:highlight w:val="none"/>
        </w:rPr>
        <w:t>”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试点支持方向，除《武汉市消费新业态新模式新场景试点专项资金管理办法》明确的负面清单外的实际有效投资。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cs="仿宋_GB2312" w:hAnsi="Times New Roman" w:hint="eastAsia"/>
          <w:sz w:val="32"/>
          <w:u w:val="none"/>
          <w:lang w:val="en-US" w:eastAsia="zh-CN" w:bidi="ar-SA"/>
          <w:highlight w:val="none"/>
        </w:rPr>
      </w:pPr>
      <w:r>
        <w:rPr>
          <w:rFonts w:ascii="Times New Roman" w:eastAsia="仿宋_GB2312" w:cs="仿宋_GB2312" w:hAnsi="Times New Roman"/>
          <w:sz w:val="32"/>
          <w:u w:val="none"/>
          <w:lang w:val="en-US" w:eastAsia="zh-CN" w:bidi="ar-SA"/>
          <w:highlight w:val="none"/>
        </w:rPr>
        <w:t>5</w:t>
      </w:r>
      <w:r>
        <w:rPr>
          <w:rFonts w:ascii="Times New Roman" w:cs="仿宋_GB2312" w:hAnsi="Times New Roman" w:hint="eastAsia"/>
          <w:sz w:val="32"/>
          <w:u w:val="none"/>
          <w:lang w:val="en-US" w:eastAsia="zh-CN" w:bidi="ar-SA"/>
          <w:highlight w:val="none"/>
        </w:rPr>
        <w:t>．</w:t>
      </w:r>
      <w:r>
        <w:rPr>
          <w:rFonts w:ascii="Times New Roman" w:eastAsia="仿宋_GB2312" w:cs="仿宋_GB2312" w:hAnsi="Times New Roman"/>
          <w:sz w:val="32"/>
          <w:u w:val="none"/>
          <w:lang w:val="en-US" w:eastAsia="zh-CN" w:bidi="ar-SA"/>
          <w:highlight w:val="none"/>
        </w:rPr>
        <w:t>项目</w:t>
      </w:r>
      <w:r>
        <w:rPr>
          <w:rFonts w:ascii="Times New Roman" w:eastAsia="仿宋_GB2312" w:cs="仿宋_GB2312" w:hAnsi="Times New Roman" w:hint="eastAsia"/>
          <w:sz w:val="32"/>
          <w:u w:val="none"/>
          <w:lang w:val="en-US" w:eastAsia="zh-CN" w:bidi="ar-SA"/>
          <w:highlight w:val="none"/>
        </w:rPr>
        <w:t>有关补助资金不支持新建商业综合体，以及各类古镇、纪念馆、博物馆等设施建设；不支持一般性装修；不支持事业单位信息系统建设维护、养老院和病房建设等与支持方向无关的领域；不支持无消费内容或免费开放的项目；不支持党政机关主办、承办或承担部分活动费用的各类活动（包含但不限于展会、节庆、论坛等活动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cs="仿宋_GB2312" w:hAnsi="Times New Roman" w:hint="eastAsia"/>
          <w:sz w:val="32"/>
          <w:u w:val="none"/>
          <w:lang w:val="en-US" w:eastAsia="zh-CN" w:bidi="ar-SA"/>
          <w:highlight w:val="none"/>
        </w:rPr>
      </w:pP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6</w:t>
      </w:r>
      <w:r>
        <w:rPr>
          <w:rFonts w:ascii="Times New Roman" w:cs="Times New Roman" w:hAnsi="Times New Roman" w:hint="eastAsia"/>
          <w:sz w:val="32"/>
          <w:szCs w:val="32"/>
          <w:u w:val="none"/>
          <w:lang w:eastAsia="zh-CN" w:bidi="ar-SA"/>
          <w:highlight w:val="none"/>
        </w:rPr>
        <w:t>．</w:t>
      </w:r>
      <w:r>
        <w:rPr>
          <w:rFonts w:ascii="Times New Roman" w:eastAsia="仿宋_GB2312" w:cs="仿宋_GB2312" w:hAnsi="Times New Roman" w:hint="eastAsia"/>
          <w:sz w:val="32"/>
          <w:u w:val="none"/>
          <w:lang w:val="en-US" w:eastAsia="zh-CN" w:bidi="ar-SA"/>
          <w:highlight w:val="none"/>
        </w:rPr>
        <w:t>对已从其他渠道获得中央财政资金支持的项目，不得重复申请资金支持。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cs="Times New Roman" w:hAnsi="Times New Roman" w:hint="eastAsia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7</w:t>
      </w:r>
      <w:r>
        <w:rPr>
          <w:rFonts w:ascii="Times New Roman" w:cs="Times New Roman" w:hAnsi="Times New Roman" w:hint="eastAsia"/>
          <w:sz w:val="32"/>
          <w:szCs w:val="32"/>
          <w:u w:val="none"/>
          <w:lang w:eastAsia="zh-CN" w:bidi="ar-SA"/>
          <w:highlight w:val="none"/>
        </w:rPr>
        <w:t>．</w:t>
      </w:r>
      <w:r>
        <w:rPr>
          <w:rFonts w:ascii="Times New Roman" w:eastAsia="仿宋_GB2312" w:cs="仿宋_GB2312" w:hAnsi="Times New Roman" w:hint="eastAsia"/>
          <w:sz w:val="32"/>
          <w:u w:val="none"/>
          <w:lang w:val="en-US" w:eastAsia="zh-CN" w:bidi="ar-SA"/>
          <w:highlight w:val="none"/>
        </w:rPr>
        <w:t>上级部门如有其他要求，再另行确定通知。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方正黑体_GBK" w:cs="方正黑体_GBK" w:hAnsi="Times New Roman" w:hint="eastAsia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方正黑体_GBK" w:cs="方正黑体_GBK" w:hAnsi="Times New Roman" w:hint="eastAsia"/>
          <w:sz w:val="32"/>
          <w:szCs w:val="32"/>
          <w:u w:val="none"/>
          <w:lang w:bidi="ar-SA"/>
          <w:highlight w:val="none"/>
        </w:rPr>
        <w:t>二、支持方向与</w:t>
      </w:r>
      <w:r>
        <w:rPr>
          <w:rFonts w:ascii="Times New Roman" w:eastAsia="方正黑体_GBK" w:cs="方正黑体_GBK" w:hAnsi="Times New Roman"/>
          <w:sz w:val="32"/>
          <w:szCs w:val="32"/>
          <w:u w:val="none"/>
          <w:lang w:bidi="ar-SA"/>
          <w:highlight w:val="none"/>
        </w:rPr>
        <w:t>内容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cs="Times New Roman" w:hAnsi="Times New Roman" w:hint="eastAsia"/>
          <w:lang w:eastAsia="zh-CN"/>
        </w:rPr>
      </w:pPr>
      <w:r>
        <w:rPr>
          <w:rFonts w:ascii="Times New Roman" w:cs="Times New Roman" w:hAnsi="Times New Roman" w:hint="eastAsia"/>
        </w:rPr>
        <w:t>（一）</w:t>
      </w:r>
      <w:r>
        <w:rPr>
          <w:rFonts w:ascii="Times New Roman" w:cs="Times New Roman" w:hAnsi="Times New Roman" w:hint="eastAsia"/>
          <w:lang w:eastAsia="zh-CN"/>
        </w:rPr>
        <w:t>支持打造首发中心、首发经济集聚区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cs="Times New Roman" w:hAnsi="Times New Roman"/>
          <w:b/>
          <w:bCs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Times New Roman" w:hAnsi="Times New Roman"/>
          <w:b/>
          <w:bCs/>
          <w:sz w:val="32"/>
          <w:szCs w:val="32"/>
          <w:u w:val="none"/>
          <w:lang w:bidi="ar-SA"/>
          <w:highlight w:val="none"/>
        </w:rPr>
        <w:t>1</w:t>
      </w:r>
      <w:r>
        <w:rPr>
          <w:rFonts w:ascii="Times New Roman" w:cs="Times New Roman" w:hAnsi="Times New Roman" w:hint="eastAsia"/>
          <w:b/>
          <w:bCs/>
          <w:sz w:val="32"/>
          <w:szCs w:val="32"/>
          <w:u w:val="none"/>
          <w:lang w:eastAsia="zh-CN" w:bidi="ar-SA"/>
          <w:highlight w:val="none"/>
        </w:rPr>
        <w:t>．</w:t>
      </w:r>
      <w:r>
        <w:rPr>
          <w:rFonts w:ascii="Times New Roman" w:eastAsia="仿宋_GB2312" w:cs="Times New Roman" w:hAnsi="Times New Roman" w:hint="eastAsia"/>
          <w:b/>
          <w:bCs/>
          <w:sz w:val="32"/>
          <w:szCs w:val="32"/>
          <w:u w:val="none"/>
          <w:lang w:bidi="ar-SA"/>
          <w:highlight w:val="none"/>
        </w:rPr>
        <w:t>支持打造首发中心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Times New Roman" w:hAnsi="Times New Roman"/>
          <w:b/>
          <w:bCs/>
          <w:sz w:val="32"/>
          <w:szCs w:val="32"/>
          <w:u w:val="none"/>
          <w:lang w:bidi="ar-SA"/>
          <w:highlight w:val="none"/>
        </w:rPr>
        <w:t>支持内容：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支持商圈商街、创意园区、文化场所等打造多层次的新品发布平台载体，推出具备品牌展示、首发、首秀、首展等功能的首发空间。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Times New Roman" w:hAnsi="Times New Roman"/>
          <w:b/>
          <w:bCs/>
          <w:sz w:val="32"/>
          <w:szCs w:val="32"/>
          <w:u w:val="none"/>
          <w:lang w:bidi="ar-SA"/>
          <w:highlight w:val="none"/>
        </w:rPr>
        <w:t>申报条件：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具有500平方米（含）以上的首发空间，在试点期内举办新产品、新技术、新展示、新演艺等市级及以上首发首秀首展活动不少于5场，且累计实际投资额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（包括</w:t>
      </w: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场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地</w:t>
      </w: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、设备、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搭建等）不低于</w:t>
      </w:r>
      <w:r>
        <w:rPr>
          <w:rFonts w:ascii="Times New Roman" w:eastAsia="仿宋_GB2312" w:hAnsi="Times New Roman" w:hint="eastAsia"/>
          <w:sz w:val="32"/>
          <w:szCs w:val="32"/>
          <w:u w:val="none"/>
          <w:lang w:val="en-US" w:eastAsia="zh-CN"/>
          <w:highlight w:val="none"/>
        </w:rPr>
        <w:t>500万元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cs="Times New Roman" w:hAnsi="Times New Roman"/>
          <w:b/>
          <w:bCs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2</w:t>
      </w:r>
      <w:r>
        <w:rPr>
          <w:rFonts w:ascii="Times New Roman" w:cs="Times New Roman" w:hAnsi="Times New Roman" w:hint="eastAsia"/>
          <w:sz w:val="32"/>
          <w:szCs w:val="32"/>
          <w:u w:val="none"/>
          <w:lang w:eastAsia="zh-CN" w:bidi="ar-SA"/>
          <w:highlight w:val="none"/>
        </w:rPr>
        <w:t>．</w:t>
      </w:r>
      <w:r>
        <w:rPr>
          <w:rFonts w:ascii="Times New Roman" w:eastAsia="仿宋_GB2312" w:cs="Times New Roman" w:hAnsi="Times New Roman" w:hint="eastAsia"/>
          <w:b/>
          <w:bCs/>
          <w:sz w:val="32"/>
          <w:szCs w:val="32"/>
          <w:u w:val="none"/>
          <w:lang w:bidi="ar-SA"/>
          <w:highlight w:val="none"/>
        </w:rPr>
        <w:t>支持打造</w:t>
      </w:r>
      <w:r>
        <w:rPr>
          <w:rFonts w:ascii="Times New Roman" w:eastAsia="仿宋_GB2312" w:cs="Times New Roman" w:hAnsi="Times New Roman"/>
          <w:b/>
          <w:bCs/>
          <w:sz w:val="32"/>
          <w:szCs w:val="32"/>
          <w:u w:val="none"/>
          <w:lang w:bidi="ar-SA"/>
          <w:highlight w:val="none"/>
        </w:rPr>
        <w:t>首发经济集聚区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Times New Roman" w:hAnsi="Times New Roman"/>
          <w:b/>
          <w:bCs/>
          <w:sz w:val="32"/>
          <w:szCs w:val="32"/>
          <w:u w:val="none"/>
          <w:lang w:bidi="ar-SA"/>
          <w:highlight w:val="none"/>
        </w:rPr>
        <w:t>支持内容：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支持商圈商街、商业载体（包括购物中心、百货店、高品质酒店等）、创意园区、文化场所等集聚一批首店、旗舰店、创新概念店，形成品牌云集、业态多元的首发经济集聚区。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Times New Roman" w:hAnsi="Times New Roman"/>
          <w:b/>
          <w:bCs/>
          <w:sz w:val="32"/>
          <w:szCs w:val="32"/>
          <w:u w:val="none"/>
          <w:lang w:bidi="ar-SA"/>
          <w:highlight w:val="none"/>
        </w:rPr>
        <w:t>申报条件：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试点期内，新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引进落地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市级及以上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品牌首店、旗舰店、创新概念店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数量不少于10家，且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累计实际投资额（包括</w:t>
      </w: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场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地</w:t>
      </w: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、设备、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搭建等）不低于</w:t>
      </w:r>
      <w:r>
        <w:rPr>
          <w:rFonts w:ascii="Times New Roman" w:eastAsia="仿宋_GB2312" w:hAnsi="Times New Roman" w:hint="eastAsia"/>
          <w:sz w:val="32"/>
          <w:szCs w:val="32"/>
          <w:u w:val="none"/>
          <w:lang w:val="en-US" w:eastAsia="zh-CN"/>
          <w:highlight w:val="none"/>
        </w:rPr>
        <w:t>500万元的申报项目</w:t>
      </w:r>
      <w:r>
        <w:rPr>
          <w:rFonts w:ascii="Times New Roman" w:eastAsia="仿宋_GB2312" w:hAnsi="Times New Roman"/>
          <w:sz w:val="32"/>
          <w:szCs w:val="32"/>
          <w:u w:val="none"/>
          <w:lang w:val="en-US" w:eastAsia="zh-CN"/>
          <w:highlight w:val="none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cs="Times New Roman" w:hAnsi="Times New Roman" w:hint="eastAsia"/>
        </w:rPr>
      </w:pPr>
      <w:r>
        <w:rPr>
          <w:rFonts w:ascii="Times New Roman" w:cs="Times New Roman" w:hAnsi="Times New Roman" w:hint="eastAsia"/>
        </w:rPr>
        <w:t>（二）</w:t>
      </w:r>
      <w:r>
        <w:rPr>
          <w:rFonts w:ascii="Times New Roman" w:cs="Times New Roman" w:hAnsi="Times New Roman" w:hint="eastAsia"/>
          <w:lang w:eastAsia="zh-CN"/>
        </w:rPr>
        <w:t>支持开设高能级首店、旗舰店、概念店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cs="Times New Roman" w:hAnsi="Times New Roman" w:hint="eastAsia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Times New Roman" w:hAnsi="Times New Roman" w:hint="eastAsia"/>
          <w:b/>
          <w:bCs/>
          <w:sz w:val="32"/>
          <w:szCs w:val="32"/>
          <w:u w:val="none"/>
          <w:lang w:bidi="ar-SA"/>
          <w:highlight w:val="none"/>
        </w:rPr>
        <w:t>支持内容：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eastAsia="zh-CN" w:bidi="ar-SA"/>
          <w:highlight w:val="none"/>
        </w:rPr>
        <w:t>支持具有引领性的国内外知名品牌（项目申报单位应具有合法的品牌经营权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bidi="ar-SA"/>
          <w:highlight w:val="none"/>
        </w:rPr>
        <w:t>，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eastAsia="zh-CN" w:bidi="ar-SA"/>
          <w:highlight w:val="none"/>
        </w:rPr>
        <w:t>且该品牌在国内外开设实体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bidi="ar-SA"/>
          <w:highlight w:val="none"/>
        </w:rPr>
        <w:t>店铺数量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val="en-US" w:bidi="ar-SA"/>
          <w:highlight w:val="none"/>
        </w:rPr>
        <w:t>3个及以上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bidi="ar-SA"/>
          <w:highlight w:val="none"/>
        </w:rPr>
        <w:t>）在汉新开设高能级首店、旗舰店、创新概念店。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hAnsi="Times New Roman"/>
          <w:sz w:val="32"/>
          <w:szCs w:val="32"/>
          <w:u w:val="none"/>
          <w:lang w:eastAsia="zh-CN"/>
          <w:highlight w:val="none"/>
        </w:rPr>
      </w:pPr>
      <w:r>
        <w:rPr>
          <w:rFonts w:ascii="Times New Roman" w:eastAsia="仿宋_GB2312" w:cs="Times New Roman" w:hAnsi="Times New Roman"/>
          <w:b/>
          <w:bCs/>
          <w:sz w:val="32"/>
          <w:szCs w:val="32"/>
          <w:u w:val="none"/>
          <w:lang w:bidi="ar-SA"/>
          <w:highlight w:val="none"/>
        </w:rPr>
        <w:t>申报</w:t>
      </w:r>
      <w:r>
        <w:rPr>
          <w:rFonts w:ascii="Times New Roman" w:eastAsia="仿宋_GB2312" w:cs="Times New Roman" w:hAnsi="Times New Roman" w:hint="eastAsia"/>
          <w:b/>
          <w:bCs/>
          <w:sz w:val="32"/>
          <w:szCs w:val="32"/>
          <w:u w:val="none"/>
          <w:lang w:bidi="ar-SA"/>
          <w:highlight w:val="none"/>
        </w:rPr>
        <w:t>条件：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试点期内，新开设的</w:t>
      </w:r>
      <w:r>
        <w:rPr>
          <w:rFonts w:ascii="Times New Roman" w:eastAsia="仿宋_GB2312" w:hAnsi="Times New Roman" w:hint="eastAsia"/>
          <w:sz w:val="32"/>
          <w:szCs w:val="32"/>
          <w:u w:val="none"/>
          <w:lang w:val="en-US" w:eastAsia="zh-CN"/>
          <w:highlight w:val="none"/>
        </w:rPr>
        <w:t>投资</w:t>
      </w:r>
      <w:r>
        <w:rPr>
          <w:rFonts w:ascii="Times New Roman" w:eastAsia="仿宋_GB2312" w:hAnsi="Times New Roman"/>
          <w:sz w:val="32"/>
          <w:szCs w:val="32"/>
          <w:u w:val="none"/>
          <w:lang w:val="en-US" w:eastAsia="zh-CN"/>
          <w:highlight w:val="none"/>
        </w:rPr>
        <w:t>额</w:t>
      </w:r>
      <w:r>
        <w:rPr>
          <w:rFonts w:ascii="Times New Roman" w:eastAsia="仿宋_GB2312" w:hAnsi="Times New Roman" w:hint="eastAsia"/>
          <w:sz w:val="32"/>
          <w:szCs w:val="32"/>
          <w:u w:val="none"/>
          <w:highlight w:val="none"/>
        </w:rPr>
        <w:t>不低于</w:t>
      </w:r>
      <w:r>
        <w:rPr>
          <w:rFonts w:ascii="Times New Roman" w:eastAsia="仿宋_GB2312" w:hAnsi="Times New Roman"/>
          <w:sz w:val="32"/>
          <w:szCs w:val="32"/>
          <w:u w:val="none"/>
          <w:lang w:val="en-US" w:eastAsia="zh-CN"/>
          <w:highlight w:val="none"/>
        </w:rPr>
        <w:t>2</w:t>
      </w:r>
      <w:r>
        <w:rPr>
          <w:rFonts w:ascii="Times New Roman" w:eastAsia="仿宋_GB2312" w:hAnsi="Times New Roman" w:hint="eastAsia"/>
          <w:sz w:val="32"/>
          <w:szCs w:val="32"/>
          <w:u w:val="none"/>
          <w:highlight w:val="none"/>
        </w:rPr>
        <w:t>00万元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、经营面积不少于</w:t>
      </w:r>
      <w:r>
        <w:rPr>
          <w:rFonts w:ascii="Times New Roman" w:eastAsia="仿宋_GB2312" w:hAnsi="Times New Roman" w:hint="eastAsia"/>
          <w:sz w:val="32"/>
          <w:szCs w:val="32"/>
          <w:u w:val="none"/>
          <w:lang w:val="en-US" w:eastAsia="zh-CN"/>
          <w:highlight w:val="none"/>
        </w:rPr>
        <w:t>100</w:t>
      </w:r>
      <w:r>
        <w:rPr>
          <w:rFonts w:ascii="Times New Roman" w:eastAsia="仿宋_GB2312" w:hAnsi="Times New Roman" w:hint="eastAsia"/>
          <w:sz w:val="32"/>
          <w:szCs w:val="32"/>
          <w:u w:val="none"/>
          <w:highlight w:val="none"/>
        </w:rPr>
        <w:t>㎡</w:t>
      </w:r>
      <w:r>
        <w:rPr>
          <w:rFonts w:ascii="Times New Roman" w:eastAsia="仿宋_GB2312" w:hAnsi="Times New Roman" w:hint="eastAsia"/>
          <w:sz w:val="32"/>
          <w:szCs w:val="32"/>
          <w:u w:val="none"/>
          <w:lang w:val="en-US" w:eastAsia="zh-CN"/>
          <w:highlight w:val="none"/>
        </w:rPr>
        <w:t>的</w:t>
      </w:r>
      <w:r>
        <w:rPr>
          <w:rFonts w:ascii="Times New Roman" w:eastAsia="仿宋_GB2312" w:hAnsi="Times New Roman"/>
          <w:sz w:val="32"/>
          <w:szCs w:val="32"/>
          <w:u w:val="none"/>
          <w:lang w:val="en-US" w:eastAsia="zh-CN"/>
          <w:highlight w:val="none"/>
        </w:rPr>
        <w:t>市级及以上</w:t>
      </w:r>
      <w:r>
        <w:rPr>
          <w:rFonts w:ascii="Times New Roman" w:eastAsia="仿宋_GB2312" w:hAnsi="Times New Roman" w:hint="eastAsia"/>
          <w:sz w:val="32"/>
          <w:szCs w:val="32"/>
          <w:u w:val="none"/>
          <w:lang w:val="en-US" w:eastAsia="zh-CN"/>
          <w:highlight w:val="none"/>
        </w:rPr>
        <w:t>首店</w:t>
      </w:r>
      <w:r>
        <w:rPr>
          <w:rFonts w:ascii="Times New Roman" w:eastAsia="仿宋_GB2312" w:hAnsi="Times New Roman"/>
          <w:sz w:val="32"/>
          <w:szCs w:val="32"/>
          <w:u w:val="none"/>
          <w:lang w:val="en-US" w:eastAsia="zh-CN"/>
          <w:highlight w:val="none"/>
        </w:rPr>
        <w:t>；</w:t>
      </w:r>
      <w:r>
        <w:rPr>
          <w:rFonts w:ascii="Times New Roman" w:eastAsia="仿宋_GB2312" w:hAnsi="Times New Roman"/>
          <w:sz w:val="32"/>
          <w:szCs w:val="32"/>
          <w:u w:val="none"/>
          <w:lang w:eastAsia="zh-CN"/>
          <w:highlight w:val="none"/>
        </w:rPr>
        <w:t>新开设的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投资</w:t>
      </w:r>
      <w:r>
        <w:rPr>
          <w:rFonts w:ascii="Times New Roman" w:eastAsia="仿宋_GB2312" w:hAnsi="Times New Roman"/>
          <w:sz w:val="32"/>
          <w:szCs w:val="32"/>
          <w:u w:val="none"/>
          <w:lang w:eastAsia="zh-CN"/>
          <w:highlight w:val="none"/>
        </w:rPr>
        <w:t>额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不低于</w:t>
      </w:r>
      <w:r>
        <w:rPr>
          <w:rFonts w:ascii="Times New Roman" w:eastAsia="仿宋_GB2312" w:hAnsi="Times New Roman"/>
          <w:sz w:val="32"/>
          <w:szCs w:val="32"/>
          <w:u w:val="none"/>
          <w:lang w:eastAsia="zh-CN"/>
          <w:highlight w:val="none"/>
        </w:rPr>
        <w:t>3</w:t>
      </w:r>
      <w:r>
        <w:rPr>
          <w:rFonts w:ascii="Times New Roman" w:eastAsia="仿宋_GB2312" w:hAnsi="Times New Roman" w:hint="eastAsia"/>
          <w:sz w:val="32"/>
          <w:szCs w:val="32"/>
          <w:u w:val="none"/>
          <w:lang w:val="en-US" w:eastAsia="zh-CN"/>
          <w:highlight w:val="none"/>
        </w:rPr>
        <w:t>00万元、经营面积不少于300</w:t>
      </w:r>
      <w:r>
        <w:rPr>
          <w:rFonts w:ascii="Times New Roman" w:eastAsia="仿宋_GB2312" w:hAnsi="Times New Roman" w:hint="eastAsia"/>
          <w:sz w:val="32"/>
          <w:szCs w:val="32"/>
          <w:u w:val="none"/>
          <w:highlight w:val="none"/>
        </w:rPr>
        <w:t>㎡</w:t>
      </w:r>
      <w:r>
        <w:rPr>
          <w:rFonts w:ascii="Times New Roman" w:eastAsia="仿宋_GB2312" w:hAnsi="Times New Roman" w:hint="eastAsia"/>
          <w:sz w:val="32"/>
          <w:szCs w:val="32"/>
          <w:u w:val="none"/>
          <w:lang w:val="en-US" w:eastAsia="zh-CN"/>
          <w:highlight w:val="none"/>
        </w:rPr>
        <w:t>的</w:t>
      </w:r>
      <w:r>
        <w:rPr>
          <w:rFonts w:ascii="Times New Roman" w:eastAsia="仿宋_GB2312" w:hAnsi="Times New Roman"/>
          <w:sz w:val="32"/>
          <w:szCs w:val="32"/>
          <w:u w:val="none"/>
          <w:lang w:val="en-US" w:eastAsia="zh-CN"/>
          <w:highlight w:val="none"/>
        </w:rPr>
        <w:t>市级及以上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旗</w:t>
      </w:r>
      <w:r>
        <w:rPr>
          <w:rFonts w:ascii="Times New Roman" w:eastAsia="仿宋_GB2312" w:hAnsi="Times New Roman" w:hint="eastAsia"/>
          <w:sz w:val="32"/>
          <w:szCs w:val="32"/>
          <w:u w:val="none"/>
          <w:highlight w:val="none"/>
        </w:rPr>
        <w:t>舰店、创新概念店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cs="Times New Roman" w:hAnsi="Times New Roman" w:hint="eastAsia"/>
          <w:lang w:eastAsia="zh-CN"/>
        </w:rPr>
      </w:pPr>
      <w:r>
        <w:rPr>
          <w:rFonts w:ascii="Times New Roman" w:cs="Times New Roman" w:hAnsi="Times New Roman" w:hint="eastAsia"/>
        </w:rPr>
        <w:t>（三）</w:t>
      </w:r>
      <w:r>
        <w:rPr>
          <w:rFonts w:ascii="Times New Roman" w:cs="Times New Roman" w:hAnsi="Times New Roman" w:hint="eastAsia"/>
          <w:lang w:eastAsia="zh-CN"/>
        </w:rPr>
        <w:t>支持举办首发首秀首展活动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hAnsi="Times New Roman"/>
          <w:sz w:val="32"/>
          <w:szCs w:val="32"/>
          <w:u w:val="none"/>
          <w:lang w:eastAsia="zh-CN"/>
          <w:highlight w:val="none"/>
        </w:rPr>
      </w:pPr>
      <w:r>
        <w:rPr>
          <w:rFonts w:ascii="Times New Roman" w:eastAsia="仿宋_GB2312" w:cs="Times New Roman" w:hAnsi="Times New Roman" w:hint="eastAsia"/>
          <w:b/>
          <w:bCs/>
          <w:sz w:val="32"/>
          <w:szCs w:val="32"/>
          <w:u w:val="none"/>
          <w:lang w:bidi="ar-SA"/>
          <w:highlight w:val="none"/>
        </w:rPr>
        <w:t>支持内容：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支持时尚服饰、消费电子、美妆、潮玩、家居、汽车、智能终端、运动潮品及服务消费等领域具有创新性、引领性的产品和服务举办</w:t>
      </w: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首发首秀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首展活动。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hAnsi="Times New Roman" w:hint="eastAsia"/>
          <w:sz w:val="32"/>
          <w:szCs w:val="32"/>
          <w:u w:val="none"/>
          <w:highlight w:val="none"/>
        </w:rPr>
      </w:pPr>
      <w:r>
        <w:rPr>
          <w:rFonts w:ascii="Times New Roman" w:eastAsia="仿宋_GB2312" w:cs="Times New Roman" w:hAnsi="Times New Roman" w:hint="eastAsia"/>
          <w:b/>
          <w:bCs/>
          <w:sz w:val="32"/>
          <w:szCs w:val="32"/>
          <w:u w:val="none"/>
          <w:lang w:bidi="ar-SA"/>
          <w:highlight w:val="none"/>
        </w:rPr>
        <w:t>支持条件：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试点期内，</w:t>
      </w:r>
      <w:r>
        <w:rPr>
          <w:rFonts w:ascii="Times New Roman" w:eastAsia="仿宋_GB2312" w:hAnsi="Times New Roman" w:hint="eastAsia"/>
          <w:sz w:val="32"/>
          <w:szCs w:val="32"/>
          <w:u w:val="none"/>
          <w:highlight w:val="none"/>
        </w:rPr>
        <w:t>国内外品牌、商业运营方、媒体、策划咨询机构等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举办</w:t>
      </w:r>
      <w:r>
        <w:rPr>
          <w:rFonts w:ascii="Times New Roman" w:eastAsia="仿宋_GB2312" w:hAnsi="Times New Roman" w:hint="eastAsia"/>
          <w:sz w:val="32"/>
          <w:szCs w:val="32"/>
          <w:u w:val="none"/>
          <w:lang w:val="en-US" w:eastAsia="zh-CN"/>
          <w:highlight w:val="none"/>
        </w:rPr>
        <w:t>的</w:t>
      </w:r>
      <w:r>
        <w:rPr>
          <w:rFonts w:ascii="Times New Roman" w:eastAsia="仿宋_GB2312" w:hAnsi="Times New Roman"/>
          <w:sz w:val="32"/>
          <w:szCs w:val="32"/>
          <w:u w:val="none"/>
          <w:lang w:val="en-US" w:eastAsia="zh-CN"/>
          <w:highlight w:val="none"/>
        </w:rPr>
        <w:t>，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核定实际投资额</w:t>
      </w: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（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包括</w:t>
      </w: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场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地</w:t>
      </w: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、设备、搭建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等费用</w:t>
      </w:r>
      <w:r>
        <w:rPr>
          <w:rFonts w:ascii="Times New Roman" w:eastAsia="仿宋_GB2312" w:hAnsi="Times New Roman"/>
          <w:sz w:val="32"/>
          <w:szCs w:val="32"/>
          <w:u w:val="none"/>
          <w:highlight w:val="none"/>
        </w:rPr>
        <w:t>）超过50万元（含）的</w:t>
      </w:r>
      <w:r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  <w:t>首发首秀首展活动项目</w:t>
      </w:r>
      <w:r>
        <w:rPr>
          <w:rFonts w:ascii="Times New Roman" w:eastAsia="仿宋_GB2312" w:hAnsi="Times New Roman"/>
          <w:sz w:val="32"/>
          <w:szCs w:val="32"/>
          <w:u w:val="none"/>
          <w:lang w:eastAsia="zh-CN"/>
          <w:highlight w:val="none"/>
        </w:rPr>
        <w:t>。活动须为具有创新性、引领性的产品、服务或技术等在全国范围内的首次发布亮相。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cs="Times New Roman" w:hAnsi="Times New Roman" w:hint="eastAsia"/>
          <w:lang w:val="en-US" w:eastAsia="zh-CN"/>
        </w:rPr>
      </w:pPr>
      <w:r>
        <w:rPr>
          <w:rFonts w:ascii="Times New Roman" w:cs="Times New Roman" w:hAnsi="Times New Roman" w:hint="eastAsia"/>
        </w:rPr>
        <w:t>（四）</w:t>
      </w:r>
      <w:r>
        <w:rPr>
          <w:rFonts w:ascii="Times New Roman" w:cs="Times New Roman" w:hAnsi="Times New Roman" w:hint="eastAsia"/>
          <w:lang w:val="en-US" w:eastAsia="zh-CN"/>
        </w:rPr>
        <w:t>支持展会开设首发专区、专场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Times New Roman" w:hAnsi="Times New Roman" w:hint="eastAsia"/>
          <w:b/>
          <w:bCs/>
          <w:sz w:val="32"/>
          <w:szCs w:val="32"/>
          <w:u w:val="none"/>
          <w:lang w:bidi="ar-SA"/>
          <w:highlight w:val="none"/>
        </w:rPr>
        <w:t>支持内容：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支持在专业展馆内举办的展会中，单独设置的全国首发专区、首发专场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，</w:t>
      </w:r>
      <w:r>
        <w:rPr>
          <w:rFonts w:ascii="Times New Roman" w:eastAsia="仿宋_GB2312" w:cs="仿宋_GB2312" w:hAnsi="Times New Roman"/>
          <w:sz w:val="32"/>
          <w:szCs w:val="32"/>
          <w:u w:val="none"/>
          <w:lang w:bidi="ar-SA"/>
          <w:highlight w:val="none"/>
        </w:rPr>
        <w:t>首次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集中展示发布新产品、新服务、新技术等。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Times New Roman" w:hAnsi="Times New Roman" w:hint="eastAsia"/>
          <w:b/>
          <w:bCs/>
          <w:sz w:val="32"/>
          <w:szCs w:val="32"/>
          <w:u w:val="none"/>
          <w:lang w:bidi="ar-SA"/>
          <w:highlight w:val="none"/>
        </w:rPr>
        <w:t>支持条件：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试点期内，在</w:t>
      </w:r>
      <w:r>
        <w:rPr>
          <w:rFonts w:ascii="Times New Roman" w:eastAsia="仿宋_GB2312" w:hAnsi="Times New Roman"/>
          <w:color w:val="auto"/>
          <w:sz w:val="32"/>
          <w:szCs w:val="18"/>
          <w:u w:val="none"/>
          <w:lang w:val="en-US" w:eastAsia="zh-CN"/>
          <w:highlight w:val="none"/>
        </w:rPr>
        <w:t>面积超过1万平方米的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以产品技术展示与投资贸易洽谈为主要目的展览活动</w:t>
      </w:r>
      <w:r>
        <w:rPr>
          <w:rFonts w:ascii="Times New Roman" w:eastAsia="仿宋_GB2312" w:cs="仿宋_GB2312" w:hAnsi="Times New Roman"/>
          <w:sz w:val="32"/>
          <w:szCs w:val="32"/>
          <w:u w:val="none"/>
          <w:lang w:bidi="ar-SA"/>
          <w:highlight w:val="none"/>
        </w:rPr>
        <w:t>中，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val="en-US" w:eastAsia="zh-CN" w:bidi="ar-SA"/>
          <w:highlight w:val="none"/>
        </w:rPr>
        <w:t>开设首发专区、专场且活动面积超过300平方米。</w:t>
      </w:r>
      <w:r>
        <w:rPr>
          <w:rFonts w:ascii="Times New Roman" w:eastAsia="仿宋_GB2312" w:hAnsi="Times New Roman"/>
          <w:sz w:val="32"/>
          <w:szCs w:val="32"/>
          <w:u w:val="none"/>
          <w:lang w:eastAsia="zh-CN"/>
          <w:highlight w:val="none"/>
        </w:rPr>
        <w:t>展出内容须为全国范围内的首次展示。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hAnsi="Times New Roman" w:hint="eastAsia"/>
          <w:sz w:val="32"/>
          <w:szCs w:val="32"/>
          <w:u w:val="none"/>
          <w:lang w:eastAsia="zh-CN"/>
          <w:highlight w:val="none"/>
        </w:rPr>
      </w:pPr>
      <w:r>
        <w:rPr>
          <w:rFonts w:ascii="Times New Roman" w:eastAsia="仿宋_GB2312" w:hAnsi="Times New Roman"/>
          <w:sz w:val="32"/>
          <w:szCs w:val="32"/>
          <w:u w:val="none"/>
          <w:lang w:eastAsia="zh-CN"/>
          <w:highlight w:val="none"/>
        </w:rPr>
        <w:t>上述首店、首发、首秀、首展等需满足附件1《首发经济名词解释》相关内容。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方正黑体_GBK" w:cs="方正黑体_GBK" w:hAnsi="Times New Roman" w:hint="eastAsia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方正黑体_GBK" w:cs="方正黑体_GBK" w:hAnsi="Times New Roman" w:hint="eastAsia"/>
          <w:sz w:val="32"/>
          <w:szCs w:val="32"/>
          <w:u w:val="none"/>
          <w:lang w:bidi="ar-SA"/>
          <w:highlight w:val="none"/>
        </w:rPr>
        <w:t>三、申报材料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jc w:val="both"/>
        <w:textAlignment w:val="auto"/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申报单位按申报书（详见附件2）顺序编制书面材料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eastAsia="zh-CN" w:bidi="ar-SA"/>
          <w:highlight w:val="none"/>
        </w:rPr>
        <w:t>，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装订成册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bidi="ar-SA"/>
          <w:highlight w:val="none"/>
        </w:rPr>
        <w:t>，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制作封面及目录（左侧装订，封面注明项目名称及申报单位）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bidi="ar-SA"/>
          <w:highlight w:val="none"/>
        </w:rPr>
        <w:t>，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制作封面及目录，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bidi="ar-SA"/>
          <w:highlight w:val="none"/>
        </w:rPr>
        <w:t>加盖公章并加盖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骑缝章。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bidi="ar-SA"/>
          <w:highlight w:val="none"/>
        </w:rPr>
        <w:t>同时提供申报材料可编辑电子版和PDF扫描件。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申报材料应当真实、准确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eastAsia="zh-CN" w:bidi="ar-SA"/>
          <w:highlight w:val="none"/>
        </w:rPr>
        <w:t>，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val="en-US" w:eastAsia="zh-CN" w:bidi="ar-SA"/>
          <w:highlight w:val="none"/>
        </w:rPr>
        <w:t>内容清晰</w:t>
      </w:r>
      <w:r>
        <w:rPr>
          <w:rFonts w:ascii="Times New Roman" w:eastAsia="仿宋_GB2312" w:cs="Times New Roman" w:hAnsi="Times New Roman" w:hint="eastAsia"/>
          <w:sz w:val="32"/>
          <w:szCs w:val="32"/>
          <w:u w:val="none"/>
          <w:lang w:eastAsia="zh-CN" w:bidi="ar-SA"/>
          <w:highlight w:val="none"/>
        </w:rPr>
        <w:t>、</w:t>
      </w:r>
      <w:r>
        <w:rPr>
          <w:rFonts w:ascii="Times New Roman" w:eastAsia="仿宋_GB2312" w:cs="Times New Roman" w:hAnsi="Times New Roman"/>
          <w:sz w:val="32"/>
          <w:szCs w:val="32"/>
          <w:u w:val="none"/>
          <w:lang w:bidi="ar-SA"/>
          <w:highlight w:val="none"/>
        </w:rPr>
        <w:t>完整。</w:t>
      </w:r>
    </w:p>
    <w:p>
      <w:pPr>
        <w:rPr>
          <w:rFonts w:cs="仿宋_GB2312"/>
          <w:sz w:val="32"/>
          <w:lang w:val="en-US" w:eastAsia="zh-CN"/>
        </w:rPr>
      </w:pPr>
      <w:r>
        <w:rPr>
          <w:rFonts w:cs="仿宋_GB2312"/>
          <w:sz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ind w:firstLineChars="0" w:firstLine="0"/>
        <w:jc w:val="center"/>
        <w:textAlignment w:val="auto"/>
        <w:outlineLvl w:val="0"/>
        <w:rPr>
          <w:rFonts w:ascii="Times New Roman" w:eastAsia="方正小标宋简体" w:cs="Times New Roman" w:hAnsi="Times New Roman" w:hint="eastAsia"/>
          <w:b w:val="0"/>
          <w:kern w:val="44"/>
          <w:sz w:val="44"/>
          <w:szCs w:val="18"/>
          <w:u w:val="none"/>
          <w:lang w:val="en-US" w:eastAsia="zh-CN" w:bidi="ar-SA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firstLineChars="0" w:firstLine="0"/>
        <w:jc w:val="center"/>
        <w:textAlignment w:val="auto"/>
        <w:outlineLvl w:val="0"/>
        <w:rPr>
          <w:rFonts w:ascii="Times New Roman" w:eastAsia="方正小标宋简体" w:cs="Times New Roman" w:hAnsi="Times New Roman" w:hint="eastAsia"/>
          <w:b w:val="0"/>
          <w:kern w:val="44"/>
          <w:sz w:val="44"/>
          <w:szCs w:val="18"/>
          <w:u w:val="none"/>
          <w:lang w:val="en-US" w:eastAsia="zh-CN" w:bidi="ar-SA"/>
          <w:highlight w:val="none"/>
        </w:rPr>
      </w:pPr>
      <w:r>
        <w:rPr>
          <w:rFonts w:ascii="Times New Roman" w:eastAsia="方正小标宋简体" w:cs="Times New Roman" w:hAnsi="Times New Roman" w:hint="eastAsia"/>
          <w:b w:val="0"/>
          <w:kern w:val="44"/>
          <w:sz w:val="44"/>
          <w:szCs w:val="18"/>
          <w:u w:val="none"/>
          <w:lang w:val="en-US" w:eastAsia="zh-CN" w:bidi="ar-SA"/>
          <w:highlight w:val="none"/>
        </w:rPr>
        <w:t>首发经济名词解释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rPr>
          <w:rFonts w:ascii="Times New Roman" w:eastAsia="仿宋_GB2312" w:cs="仿宋_GB2312" w:hAnsi="Times New Roman" w:hint="eastAsia"/>
          <w:sz w:val="32"/>
          <w:szCs w:val="18"/>
          <w:u w:val="none"/>
          <w:lang w:val="en-US" w:eastAsia="zh-CN" w:bidi="ar-SA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32"/>
        <w:outlineLvl w:val="1"/>
        <w:rPr>
          <w:rFonts w:ascii="Times New Roman" w:eastAsia="黑体" w:cs="Times New Roman" w:hAnsi="Times New Roman" w:hint="eastAsia"/>
          <w:kern w:val="2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黑体" w:cs="Times New Roman" w:hAnsi="Times New Roman" w:hint="eastAsia"/>
          <w:kern w:val="2"/>
          <w:sz w:val="32"/>
          <w:szCs w:val="32"/>
          <w:u w:val="none"/>
          <w:lang w:val="en-US" w:eastAsia="zh-CN" w:bidi="ar-SA"/>
          <w:highlight w:val="none"/>
        </w:rPr>
        <w:t>一、首发经济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32"/>
        <w:outlineLvl w:val="1"/>
        <w:rPr>
          <w:rFonts w:ascii="Times New Roman" w:eastAsia="仿宋_GB2312" w:cs="仿宋_GB2312" w:hAnsi="Times New Roman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首发经济是指企业发布新产品，推出新业态、新模式、新服务、新技术，并涵盖首店、首秀、首展等活动的总称。其核心在于“首次”，包括首次发布、首次展出、首次开设门店、首次设立研发中心等链式发展全过程。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发布内容主要包括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“六</w:t>
      </w:r>
      <w:r>
        <w:rPr>
          <w:rFonts w:ascii="Times New Roman" w:eastAsia="仿宋_GB2312" w:cs="仿宋_GB2312" w:hAnsi="Times New Roman"/>
          <w:sz w:val="32"/>
          <w:szCs w:val="32"/>
          <w:u w:val="none"/>
          <w:lang w:val="en-US" w:eastAsia="zh-CN" w:bidi="ar-SA"/>
          <w:highlight w:val="none"/>
        </w:rPr>
        <w:t>新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”</w:t>
      </w:r>
      <w:r>
        <w:rPr>
          <w:rFonts w:ascii="Times New Roman" w:eastAsia="仿宋_GB2312" w:cs="仿宋_GB2312" w:hAnsi="Times New Roman"/>
          <w:sz w:val="32"/>
          <w:szCs w:val="32"/>
          <w:u w:val="none"/>
          <w:lang w:val="en-US" w:eastAsia="zh-CN" w:bidi="ar-SA"/>
          <w:highlight w:val="none"/>
        </w:rPr>
        <w:t>，即发布或推出新产品、新服务、新技术、新业态、新模式、新场景。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32"/>
        <w:outlineLvl w:val="1"/>
        <w:rPr>
          <w:rFonts w:ascii="Times New Roman" w:eastAsia="黑体" w:cs="Times New Roman" w:hAnsi="Times New Roman" w:hint="eastAsia"/>
          <w:kern w:val="2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黑体" w:cs="Times New Roman" w:hAnsi="Times New Roman" w:hint="eastAsia"/>
          <w:kern w:val="2"/>
          <w:sz w:val="32"/>
          <w:szCs w:val="32"/>
          <w:u w:val="none"/>
          <w:lang w:val="en-US" w:eastAsia="zh-CN" w:bidi="ar-SA"/>
          <w:highlight w:val="none"/>
        </w:rPr>
        <w:t>二、</w:t>
      </w:r>
      <w:r>
        <w:rPr>
          <w:rFonts w:ascii="Times New Roman" w:eastAsia="黑体" w:cs="Times New Roman" w:hAnsi="Times New Roman" w:hint="eastAsia"/>
          <w:sz w:val="32"/>
          <w:szCs w:val="32"/>
          <w:u w:val="none"/>
          <w:lang w:val="en-US" w:eastAsia="zh-CN" w:bidi="ar-SA"/>
          <w:highlight w:val="none"/>
        </w:rPr>
        <w:t>首店、旗舰店、创新概念店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32"/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品牌</w:t>
      </w:r>
      <w:r>
        <w:rPr>
          <w:rFonts w:ascii="Times New Roman" w:eastAsia="仿宋_GB2312" w:cs="仿宋_GB2312" w:hAnsi="Times New Roman"/>
          <w:sz w:val="32"/>
          <w:szCs w:val="32"/>
          <w:u w:val="none"/>
          <w:lang w:val="en-US" w:eastAsia="zh-CN" w:bidi="ar-SA"/>
          <w:highlight w:val="none"/>
        </w:rPr>
        <w:t>（包括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人工智能领域新消费</w:t>
      </w:r>
      <w:r>
        <w:rPr>
          <w:rFonts w:ascii="Times New Roman" w:eastAsia="仿宋_GB2312" w:cs="仿宋_GB2312" w:hAnsi="Times New Roman"/>
          <w:sz w:val="32"/>
          <w:szCs w:val="32"/>
          <w:u w:val="none"/>
          <w:lang w:val="en-US" w:eastAsia="zh-CN" w:bidi="ar-SA"/>
          <w:highlight w:val="none"/>
        </w:rPr>
        <w:t>品牌）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首次进入某一行政区域，开设的具有商业集聚效应和辐射能力的首个实体店，也称作品牌首店；或是品牌通过升级改造、融合创新，开设出在商品和服务方面与品牌的标准店有显著差异的实体店，主要包括首店、旗舰店、创新概念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32"/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注：品牌指《品牌分类》GB/T36680-2018中7.2规定的D消费类产品和F服务类对应品牌。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32"/>
        <w:outlineLvl w:val="2"/>
        <w:rPr>
          <w:rFonts w:ascii="Times New Roman" w:eastAsia="楷体_GB2312" w:cs="Times New Roman" w:hAnsi="Times New Roman" w:hint="eastAsia"/>
          <w:kern w:val="2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楷体_GB2312" w:cs="Times New Roman" w:hAnsi="Times New Roman" w:hint="eastAsia"/>
          <w:kern w:val="2"/>
          <w:sz w:val="32"/>
          <w:szCs w:val="32"/>
          <w:u w:val="none"/>
          <w:lang w:val="en-US" w:eastAsia="zh-CN" w:bidi="ar-SA"/>
          <w:highlight w:val="none"/>
        </w:rPr>
        <w:t>（一）基本条件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32"/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品牌具有登记注册的商标和商号，创立时间宜在1年（含）以上，且宜具备一定的知名度和市场占有率，或在细分市场占有率高，为广大消费者或特定人群所熟悉。需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满足下列条件之一：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32"/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1．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原则上近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5年入选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德勤全球奢侈品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力量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、摩根士丹利全球奢侈品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报告等榜单的品牌</w:t>
      </w:r>
      <w:r>
        <w:rPr>
          <w:rFonts w:ascii="Times New Roman" w:eastAsia="仿宋_GB2312" w:cs="仿宋_GB2312" w:hAnsi="Times New Roman"/>
          <w:sz w:val="32"/>
          <w:szCs w:val="32"/>
          <w:u w:val="none"/>
          <w:lang w:eastAsia="zh-CN" w:bidi="ar-SA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32"/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仿宋_GB2312" w:hAnsi="Times New Roman" w:hint="eastAsia"/>
          <w:spacing w:val="0"/>
          <w:kern w:val="2"/>
          <w:sz w:val="32"/>
          <w:szCs w:val="32"/>
          <w:u w:val="none"/>
          <w:shd w:val="clear" w:color="auto" w:fill="auto"/>
          <w:lang w:val="en-US" w:eastAsia="zh-CN" w:bidi="ar-SA"/>
          <w:highlight w:val="none"/>
        </w:rPr>
        <w:t>2．在2个（含）以上全球知名消费城市（纽约、洛杉矶、伦敦、巴黎、米兰、迪拜、日内瓦、苏黎世、都柏林、哥本哈根、悉尼、东京、中国香港、新加坡、首尔）以及首批国际消费中心城市（</w:t>
      </w:r>
      <w:r>
        <w:rPr>
          <w:rFonts w:ascii="Times New Roman" w:eastAsia="仿宋_GB2312" w:cs="仿宋_GB2312" w:hAnsi="Times New Roman" w:hint="eastAsia"/>
          <w:spacing w:val="0"/>
          <w:kern w:val="2"/>
          <w:sz w:val="32"/>
          <w:szCs w:val="32"/>
          <w:u w:val="none"/>
          <w:lang w:val="en-US" w:eastAsia="zh-CN" w:bidi="ar-SA"/>
          <w:highlight w:val="none"/>
        </w:rPr>
        <w:t>上海、北京、广州、天津、重庆</w:t>
      </w:r>
      <w:r>
        <w:rPr>
          <w:rFonts w:ascii="Times New Roman" w:eastAsia="仿宋_GB2312" w:cs="仿宋_GB2312" w:hAnsi="Times New Roman" w:hint="eastAsia"/>
          <w:spacing w:val="0"/>
          <w:kern w:val="2"/>
          <w:sz w:val="32"/>
          <w:szCs w:val="32"/>
          <w:u w:val="none"/>
          <w:shd w:val="clear" w:color="auto" w:fill="auto"/>
          <w:lang w:val="en-US" w:eastAsia="zh-CN" w:bidi="ar-SA"/>
          <w:highlight w:val="none"/>
        </w:rPr>
        <w:t>）开设2家（含）以上实体门店，并获得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全国性媒体平台或知名时尚媒体（包括但不限于：21世纪经济报道、中国商报、每日经济新闻、第一财经、新周刊、联商网、赢商网、Vogue、时尚COSMO、时尚芭莎、T Magazine、ELLE世界时装之苑、GQ、嘉人、BOF等等）宣传</w:t>
      </w:r>
      <w:r>
        <w:rPr>
          <w:rFonts w:ascii="Times New Roman" w:eastAsia="仿宋_GB2312" w:cs="仿宋_GB2312" w:hAnsi="Times New Roman" w:hint="eastAsia"/>
          <w:spacing w:val="0"/>
          <w:kern w:val="2"/>
          <w:sz w:val="32"/>
          <w:szCs w:val="32"/>
          <w:u w:val="none"/>
          <w:shd w:val="clear" w:color="auto" w:fill="auto"/>
          <w:lang w:val="en-US" w:eastAsia="zh-CN" w:bidi="ar-SA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32"/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3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．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在湖北省以外的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3个（含）以上省份的省会城市或副省级城市（及以上）开设3家（含）以上实体门店，</w:t>
      </w:r>
      <w:r>
        <w:rPr>
          <w:rFonts w:ascii="Times New Roman" w:eastAsia="仿宋_GB2312" w:cs="仿宋_GB2312" w:hAnsi="Times New Roman" w:hint="eastAsia"/>
          <w:spacing w:val="0"/>
          <w:kern w:val="2"/>
          <w:sz w:val="32"/>
          <w:szCs w:val="32"/>
          <w:u w:val="none"/>
          <w:shd w:val="clear" w:color="auto" w:fill="auto"/>
          <w:lang w:val="en-US" w:eastAsia="zh-CN" w:bidi="ar-SA"/>
          <w:highlight w:val="none"/>
        </w:rPr>
        <w:t>并获得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全国性媒体平台或知名时尚媒体宣传</w:t>
      </w:r>
      <w:r>
        <w:rPr>
          <w:rFonts w:ascii="Times New Roman" w:eastAsia="仿宋_GB2312" w:cs="仿宋_GB2312" w:hAnsi="Times New Roman"/>
          <w:sz w:val="32"/>
          <w:szCs w:val="32"/>
          <w:u w:val="none"/>
          <w:lang w:bidi="ar-SA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32"/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4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．</w:t>
      </w:r>
      <w:r>
        <w:rPr>
          <w:rFonts w:ascii="Times New Roman" w:eastAsia="仿宋_GB2312" w:cs="仿宋_GB2312" w:hAnsi="Times New Roman" w:hint="eastAsia"/>
          <w:spacing w:val="0"/>
          <w:kern w:val="2"/>
          <w:sz w:val="32"/>
          <w:szCs w:val="32"/>
          <w:u w:val="none"/>
          <w:shd w:val="clear" w:color="auto" w:fill="auto"/>
          <w:lang w:val="en-US" w:eastAsia="zh-CN" w:bidi="ar-SA"/>
          <w:highlight w:val="none"/>
        </w:rPr>
        <w:t>商务部发布的中华老字号名单，各省发布的省级老字号名单</w:t>
      </w:r>
      <w:r>
        <w:rPr>
          <w:rFonts w:ascii="Times New Roman" w:eastAsia="仿宋_GB2312" w:cs="仿宋_GB2312" w:hAnsi="Times New Roman"/>
          <w:spacing w:val="0"/>
          <w:kern w:val="2"/>
          <w:sz w:val="32"/>
          <w:szCs w:val="32"/>
          <w:u w:val="none"/>
          <w:shd w:val="clear" w:color="auto" w:fill="auto"/>
          <w:lang w:val="en-US" w:eastAsia="zh-CN" w:bidi="ar-SA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32"/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5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．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国际高端及奢侈品品牌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，包括且不限于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爱马仕、LV、香奈儿、古驰、迪奥、卡地亚、劳力士、宝格丽、芬迪、罗意威、巴尔曼（Balmain）、伊萨亚（Isaia）、Alaïa、Kiton、Brioni、Stefano Ricci、Loro Piana、Zegna等</w:t>
      </w:r>
      <w:r>
        <w:rPr>
          <w:rFonts w:ascii="Times New Roman" w:eastAsia="仿宋_GB2312" w:cs="仿宋_GB2312" w:hAnsi="Times New Roman"/>
          <w:sz w:val="32"/>
          <w:szCs w:val="32"/>
          <w:u w:val="none"/>
          <w:lang w:bidi="ar-SA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32"/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6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．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已入驻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武汉市外的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国内头部高端商业载体（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如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SKP、恒隆、德基、杭州大厦等）并官方直营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的品牌</w:t>
      </w:r>
      <w:r>
        <w:rPr>
          <w:rFonts w:ascii="Times New Roman" w:eastAsia="仿宋_GB2312" w:cs="仿宋_GB2312" w:hAnsi="Times New Roman"/>
          <w:sz w:val="32"/>
          <w:szCs w:val="32"/>
          <w:u w:val="none"/>
          <w:lang w:eastAsia="zh-CN" w:bidi="ar-SA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32"/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7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．其他符合条件的品牌。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32"/>
        <w:outlineLvl w:val="2"/>
        <w:rPr>
          <w:rFonts w:ascii="Times New Roman" w:eastAsia="楷体_GB2312" w:cs="Times New Roman" w:hAnsi="Times New Roman" w:hint="eastAsia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楷体_GB2312" w:cs="Times New Roman" w:hAnsi="Times New Roman" w:hint="eastAsia"/>
          <w:kern w:val="2"/>
          <w:sz w:val="32"/>
          <w:szCs w:val="32"/>
          <w:u w:val="none"/>
          <w:lang w:val="en-US" w:eastAsia="zh-CN" w:bidi="ar-SA"/>
          <w:highlight w:val="none"/>
        </w:rPr>
        <w:t>（二）</w:t>
      </w:r>
      <w:r>
        <w:rPr>
          <w:rFonts w:ascii="Times New Roman" w:eastAsia="楷体_GB2312" w:cs="Times New Roman" w:hAnsi="Times New Roman" w:hint="eastAsia"/>
          <w:sz w:val="32"/>
          <w:szCs w:val="32"/>
          <w:u w:val="none"/>
          <w:lang w:val="en-US" w:eastAsia="zh-CN" w:bidi="ar-SA"/>
          <w:highlight w:val="none"/>
        </w:rPr>
        <w:t>首店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Chars="200" w:firstLine="632"/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1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．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中国（内地）首店：国际、国内知名商业品牌在中国（内地）行政区域（不含香港、澳门、台湾）内开设的首家实体门店。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Chars="200" w:firstLine="632"/>
        <w:rPr>
          <w:rFonts w:ascii="Times New Roman" w:eastAsia="仿宋_GB2312" w:cs="仿宋_GB2312" w:hAnsi="Times New Roman" w:hint="eastAsia"/>
          <w:spacing w:val="-6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2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．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中部首店：国际、国内知名商业品牌在山西、河南、</w:t>
      </w:r>
      <w:r>
        <w:rPr>
          <w:rFonts w:ascii="Times New Roman" w:eastAsia="仿宋_GB2312" w:cs="仿宋_GB2312" w:hAnsi="Times New Roman" w:hint="eastAsia"/>
          <w:spacing w:val="-6"/>
          <w:sz w:val="32"/>
          <w:szCs w:val="32"/>
          <w:u w:val="none"/>
          <w:lang w:bidi="ar-SA"/>
          <w:highlight w:val="none"/>
        </w:rPr>
        <w:t>安徽、湖北、江西和湖南等六省行政区域内开设的首家实体门店。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32"/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3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．湖北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首店：国际、国内知名商业品牌在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湖北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省行政区域内开设的首家实体门店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Chars="200" w:firstLine="632"/>
        <w:rPr>
          <w:rFonts w:ascii="Times New Roman" w:eastAsia="仿宋_GB2312" w:cs="仿宋_GB2312" w:hAnsi="Times New Roman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4．武汉首店：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国际、国内知名商业品牌在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武汉市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行政区域内开设的首家实体门店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eastAsia="zh-CN" w:bidi="ar-SA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outlineLvl w:val="2"/>
        <w:rPr>
          <w:rFonts w:ascii="Times New Roman" w:eastAsia="楷体_GB2312" w:cs="Times New Roman" w:hAnsi="Times New Roman" w:hint="eastAsia"/>
          <w:kern w:val="2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楷体_GB2312" w:cs="Times New Roman" w:hAnsi="Times New Roman" w:hint="eastAsia"/>
          <w:kern w:val="2"/>
          <w:sz w:val="32"/>
          <w:szCs w:val="32"/>
          <w:u w:val="none"/>
          <w:lang w:val="en-US" w:eastAsia="zh-CN" w:bidi="ar-SA"/>
          <w:highlight w:val="none"/>
        </w:rPr>
        <w:t>（三）旗舰店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品牌在区域内设立的所有门店中，主营销售业务及销售商品品类最齐全、新品上市速度最快、面积最大的专业店或品牌专卖店。旗舰店面积通常在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300平米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以上（含）且超过该品牌在本城市开设的其他实体店。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注：专业店主要包括办公用品专业店（office supply）、家电专业店（home appliance store）、服饰店（apparel shop）体育用品店（sporting goods store）和家居建材店（home center）等。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outlineLvl w:val="2"/>
        <w:rPr>
          <w:rFonts w:ascii="Times New Roman" w:eastAsia="楷体_GB2312" w:cs="Times New Roman" w:hAnsi="Times New Roman" w:hint="eastAsia"/>
          <w:kern w:val="2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楷体_GB2312" w:cs="Times New Roman" w:hAnsi="Times New Roman" w:hint="eastAsia"/>
          <w:kern w:val="2"/>
          <w:sz w:val="32"/>
          <w:szCs w:val="32"/>
          <w:u w:val="none"/>
          <w:lang w:val="en-US" w:eastAsia="zh-CN" w:bidi="ar-SA"/>
          <w:highlight w:val="none"/>
        </w:rPr>
        <w:t>（四）创新概念店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将某种概念与主营业务相结合，或跨界融合，使得门店在形象、产品、服务方面与品牌其他门店有显著差异的实体店，包括但不限于主题店/餐厅（theme store/restaurant）、复合店（compound shop），或是提供独特体验的实体店，包括但不限于买手店（buyers shop）、体验店（experience store）、定制店（custom shop）。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outlineLvl w:val="1"/>
        <w:rPr>
          <w:rFonts w:ascii="Times New Roman" w:eastAsia="黑体" w:cs="Times New Roman" w:hAnsi="Times New Roman" w:hint="eastAsia"/>
          <w:kern w:val="2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黑体" w:cs="Times New Roman" w:hAnsi="Times New Roman" w:hint="eastAsia"/>
          <w:kern w:val="2"/>
          <w:sz w:val="32"/>
          <w:szCs w:val="32"/>
          <w:u w:val="none"/>
          <w:lang w:val="en-US" w:eastAsia="zh-CN" w:bidi="ar-SA"/>
          <w:highlight w:val="none"/>
        </w:rPr>
        <w:t>三、首秀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指品牌首次公开演出、发布或展示活动，如时装秀等消费秀。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outlineLvl w:val="1"/>
        <w:rPr>
          <w:rFonts w:ascii="Times New Roman" w:eastAsia="黑体" w:cs="Times New Roman" w:hAnsi="Times New Roman" w:hint="eastAsia"/>
          <w:kern w:val="2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黑体" w:cs="Times New Roman" w:hAnsi="Times New Roman" w:hint="eastAsia"/>
          <w:kern w:val="2"/>
          <w:sz w:val="32"/>
          <w:szCs w:val="32"/>
          <w:u w:val="none"/>
          <w:lang w:val="en-US" w:eastAsia="zh-CN" w:bidi="ar-SA"/>
          <w:highlight w:val="none"/>
        </w:rPr>
        <w:t>四、首展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指新产品、</w:t>
      </w:r>
      <w:r>
        <w:rPr>
          <w:rFonts w:ascii="Times New Roman" w:eastAsia="仿宋_GB2312" w:cs="仿宋_GB2312" w:hAnsi="Times New Roman"/>
          <w:sz w:val="32"/>
          <w:szCs w:val="32"/>
          <w:u w:val="none"/>
          <w:lang w:val="en-US" w:eastAsia="zh-CN" w:bidi="ar-SA"/>
          <w:highlight w:val="none"/>
        </w:rPr>
        <w:t>新服务、</w:t>
      </w: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val="en-US" w:eastAsia="zh-CN" w:bidi="ar-SA"/>
          <w:highlight w:val="none"/>
        </w:rPr>
        <w:t>新技术或商业文化IP的首次展览活动。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Chars="200" w:firstLine="632"/>
        <w:outlineLvl w:val="1"/>
        <w:rPr>
          <w:rFonts w:ascii="Times New Roman" w:eastAsia="黑体" w:cs="Times New Roman" w:hAnsi="Times New Roman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黑体" w:cs="Times New Roman" w:hAnsi="Times New Roman"/>
          <w:sz w:val="32"/>
          <w:szCs w:val="32"/>
          <w:u w:val="none"/>
          <w:lang w:val="en-US" w:eastAsia="zh-CN" w:bidi="ar-SA"/>
          <w:highlight w:val="none"/>
        </w:rPr>
        <w:t>五</w:t>
      </w:r>
      <w:r>
        <w:rPr>
          <w:rFonts w:ascii="Times New Roman" w:eastAsia="黑体" w:cs="Times New Roman" w:hAnsi="Times New Roman" w:hint="eastAsia"/>
          <w:kern w:val="2"/>
          <w:sz w:val="32"/>
          <w:szCs w:val="32"/>
          <w:u w:val="none"/>
          <w:lang w:val="en-US" w:eastAsia="zh-CN" w:bidi="ar-SA"/>
          <w:highlight w:val="none"/>
        </w:rPr>
        <w:t>、</w:t>
      </w:r>
      <w:r>
        <w:rPr>
          <w:rFonts w:ascii="Times New Roman" w:eastAsia="黑体" w:cs="Times New Roman" w:hAnsi="Times New Roman"/>
          <w:kern w:val="2"/>
          <w:sz w:val="32"/>
          <w:szCs w:val="32"/>
          <w:u w:val="none"/>
          <w:lang w:val="en-US" w:eastAsia="zh-CN" w:bidi="ar-SA"/>
          <w:highlight w:val="none"/>
        </w:rPr>
        <w:t>展会设立首发专区、专场</w:t>
      </w:r>
    </w:p>
    <w:p>
      <w:pPr>
        <w:bidi w:val="0"/>
        <w:spacing w:line="240" w:lineRule="auto"/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</w:pPr>
      <w:r>
        <w:rPr>
          <w:rFonts w:ascii="Times New Roman" w:eastAsia="仿宋_GB2312" w:cs="仿宋_GB2312" w:hAnsi="Times New Roman" w:hint="eastAsia"/>
          <w:sz w:val="32"/>
          <w:szCs w:val="32"/>
          <w:u w:val="none"/>
          <w:lang w:bidi="ar-SA"/>
          <w:highlight w:val="none"/>
        </w:rPr>
        <w:t>指在专业展馆内举办的展览中，由展会主办方或承办方划定专门区域，用于参展企业集中发布新产品、新服务、新技术。该类展览是以产品技术展示与投资贸易洽谈为主要目的的展览活动。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after="290"/>
        <w:ind w:firstLineChars="200" w:firstLine="632"/>
        <w:outlineLvl w:val="1"/>
        <w:rPr>
          <w:rFonts w:ascii="Times New Roman" w:eastAsia="黑体" w:cs="Times New Roman" w:hAnsi="Times New Roman"/>
          <w:sz w:val="32"/>
          <w:szCs w:val="32"/>
          <w:u w:val="none"/>
          <w:lang w:val="en-US" w:eastAsia="zh-CN" w:bidi="ar-SA"/>
          <w:highlight w:val="none"/>
        </w:rPr>
      </w:pPr>
      <w:r>
        <w:rPr>
          <w:rFonts w:ascii="Times New Roman" w:eastAsia="黑体" w:cs="Times New Roman" w:hAnsi="Times New Roman"/>
          <w:sz w:val="32"/>
          <w:szCs w:val="32"/>
          <w:u w:val="none"/>
          <w:lang w:val="en-US" w:eastAsia="zh-CN" w:bidi="ar-SA"/>
          <w:highlight w:val="none"/>
        </w:rPr>
        <w:t>六</w:t>
      </w:r>
      <w:r>
        <w:rPr>
          <w:rFonts w:ascii="Times New Roman" w:eastAsia="黑体" w:cs="Times New Roman" w:hAnsi="Times New Roman" w:hint="eastAsia"/>
          <w:sz w:val="32"/>
          <w:szCs w:val="32"/>
          <w:u w:val="none"/>
          <w:lang w:val="en-US" w:eastAsia="zh-CN" w:bidi="ar-SA"/>
          <w:highlight w:val="none"/>
        </w:rPr>
        <w:t>、知名品牌榜单（参考）</w:t>
      </w:r>
    </w:p>
    <w:tbl>
      <w:tblPr>
        <w:jc w:val="left"/>
        <w:tblInd w:w="0" w:type="dxa"/>
        <w:tblW w:w="516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 w:firstRow="0" w:lastRow="0" w:firstColumn="0" w:lastColumn="0" w:noHBand="1" w:noVBand="1"/>
      </w:tblPr>
      <w:tblGrid>
        <w:gridCol w:w="945"/>
        <w:gridCol w:w="2330"/>
        <w:gridCol w:w="4435"/>
        <w:gridCol w:w="1647"/>
      </w:tblGrid>
      <w:tr>
        <w:trPr>
          <w:trHeight w:val="567"/>
          <w:tblHeader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b/>
                <w:bCs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b/>
                <w:bCs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序号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b/>
                <w:bCs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b/>
                <w:bCs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发布方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b/>
                <w:bCs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b/>
                <w:bCs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发布内容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b/>
                <w:bCs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b/>
                <w:bCs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备注</w:t>
            </w:r>
          </w:p>
        </w:tc>
      </w:tr>
      <w:tr>
        <w:trPr>
          <w:trHeight w:val="567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1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世界品牌实验室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《世界品牌500强榜单》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美国《财富》杂志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《世界500强》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3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胡润研究院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《胡润品牌榜》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4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德勤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《全球奢侈品力量排行榜》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5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摩根士丹利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《全球奢侈品报告》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6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品牌金融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《全球最有价值零售品牌榜》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7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LA LISTE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《全球最佳餐厅》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《全球最佳酒店》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8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米其林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《米其林餐厅》星级餐厅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不含必登推荐餐厅及指南入选餐厅</w:t>
            </w:r>
          </w:p>
        </w:tc>
      </w:tr>
      <w:tr>
        <w:trPr>
          <w:trHeight w:val="567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9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中国企业联合会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中国企业家协会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《中国服务业企业500强榜单》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10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中国连锁经营协会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《中国时尚零售百强榜单》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33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《中国特许连锁百强榜单》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《中国超市百强榜单》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11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胡润研究院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《中国瞪羚企业榜》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《中国最具历史文化底蕴品牌榜》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spacing w:val="-6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《胡润中国餐饮连锁企业投资价值榜》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12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品牌联盟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《中国品牌500强》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13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赢商网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《季度热搜品牌榜》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《年度中国领军品牌百强榜》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《年度新兴品牌百强榜》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14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美团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《黑珍珠餐厅指南》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  <w:tr>
        <w:trPr>
          <w:trHeight w:val="56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textAlignment w:val="center"/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6"/>
                <w:szCs w:val="26"/>
                <w:u w:val="none"/>
                <w:lang w:val="en-US" w:eastAsia="zh-CN" w:bidi="ar-SA"/>
                <w:highlight w:val="none"/>
              </w:rPr>
              <w:t>《必吃榜年度榜单》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0" w:firstLine="0"/>
              <w:jc w:val="center"/>
              <w:rPr>
                <w:rFonts w:ascii="Times New Roman" w:eastAsia="仿宋_GB2312" w:cs="仿宋_GB2312" w:hAnsi="Times New Roman" w:hint="eastAsia"/>
                <w:color w:val="000000"/>
                <w:sz w:val="26"/>
                <w:szCs w:val="26"/>
                <w:u w:val="none"/>
                <w:lang w:bidi="ar-SA"/>
                <w:highlight w:val="none"/>
              </w:rPr>
            </w:pPr>
          </w:p>
        </w:tc>
      </w:tr>
    </w:tbl>
    <w:p>
      <w:pPr>
        <w:bidi w:val="0"/>
        <w:rPr>
          <w:lang w:val="en-US" w:eastAsia="zh-CN"/>
        </w:rPr>
      </w:pPr>
      <w:bookmarkStart w:id="0" w:name="_GoBack"/>
      <w:bookmarkEnd w:id="0"/>
    </w:p>
    <w:sectPr>
      <w:footerReference w:type="default" r:id="rId2"/>
      <w:pgSz w:w="11906" w:h="16838"/>
      <w:pgMar w:top="2098" w:right="1474" w:bottom="1984" w:left="1587" w:header="851" w:footer="1587" w:gutter="0"/>
      <w:pgNumType/>
      <w:cols w:num="1" w:space="0"/>
      <w:rtlGutter/>
      <w:docGrid w:type="linesAndChars" w:linePitch="579" w:charSpace="-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汉仪仿宋简"/>
    <w:panose1 w:val="02010600030101010101"/>
    <w:charset w:val="34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_GB2312">
    <w:altName w:val="方正楷体_GBK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Wingdings 2">
    <w:altName w:val="Wingdings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9"/>
      <w:tabs>
        <w:tab w:val="center" w:pos="4153"/>
        <w:tab w:val="right" w:pos="8306"/>
      </w:tabs>
      <w:ind w:left="0" w:firstLineChars="0" w:firstLine="0"/>
    </w:pPr>
    <w:r>
      <w:rPr>
        <w:sz w:val="18"/>
      </w:rPr>
      <mc:AlternateContent>
        <mc:Choice Requires="wps">
          <w:drawing>
            <wp:anchor distT="0" distB="0" distL="114300" distR="114300" simplePos="0" relativeHeight="12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12699</wp:posOffset>
              </wp:positionV>
              <wp:extent cx="1028700" cy="228848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028700" cy="228848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  <a:effectLst/>
                    </wps:spPr>
                    <wps:txbx id="1">
                      <w:txbxContent>
                        <w:p>
                          <w:pPr>
                            <w:pStyle w:val="19"/>
                            <w:keepNext w:val="0"/>
                            <w:keepLines w:val="0"/>
                            <w:pageBreakBefore w:val="0"/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0" w:right="0" w:firstLineChars="0" w:firstLine="0"/>
                            <w:textAlignment w:val="auto"/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color w:val="000000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hint="eastAsia"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color w:val="00000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/>
                              <w:color w:val="00000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hint="eastAsia"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/>
                              <w:color w:val="000000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type="#_x0000_t1" id="文本框 1" o:spid="_x0000_s2" filled="f" stroked="f" strokeweight="0.5pt" style="position:absolute;margin-left:-2.2888184E-5pt;margin-top:0.99993896pt;width:81.00001pt;height:18.019547pt;z-index:12;mso-position-horizontal:outside;mso-position-horizontal-relative:margin;mso-position-vertical:absolute;mso-wrap-style:none;">
              <v:stroke/>
              <v:textbox id="848" inset="5.644mm,0mm,5.644mm,0mm" o:insetmode="custom" style="layout-flow:horizontal;v-text-anchor:top;mso-fit-shape-to-text:t;">
                <w:txbxContent>
                  <w:p>
                    <w:pPr>
                      <w:pStyle w:val="19"/>
                      <w:keepNext w:val="0"/>
                      <w:keepLines w:val="0"/>
                      <w:pageBreakBefore w:val="0"/>
                      <w:widowControl w:val="0"/>
                      <w:tabs>
                        <w:tab w:val="center" w:pos="4153"/>
                        <w:tab w:val="right" w:pos="8306"/>
                      </w:tabs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0" w:right="0" w:firstLineChars="0" w:firstLine="0"/>
                      <w:textAlignment w:val="auto"/>
                      <w:rPr>
                        <w:rFonts w:ascii="宋体" w:eastAsia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/>
                        <w:color w:val="000000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hint="eastAsia"/>
                        <w:color w:val="000000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宋体" w:eastAsia="宋体" w:hAnsi="宋体"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color w:val="00000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/>
                        <w:color w:val="000000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/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hint="eastAsia"/>
                        <w:color w:val="000000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宋体" w:eastAsia="宋体" w:hAnsi="宋体"/>
                        <w:color w:val="000000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bordersDoNotSurroundHeader/>
  <w:bordersDoNotSurroundFooter/>
  <w:defaultTabStop w:val="419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jYzMTIyMzZhYTc0YmQwNDU2NDYyYjU3ODE2NDZlN2UifQ=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bidi w:val="0"/>
      <w:ind w:firstLineChars="200" w:firstLine="200"/>
      <w:jc w:val="both"/>
    </w:pPr>
    <w:rPr>
      <w:rFonts w:ascii="Times New Roman" w:eastAsia="仿宋_GB2312" w:cs="Times New Roman" w:hAnsi="Times New Roman"/>
      <w:kern w:val="2"/>
      <w:sz w:val="32"/>
      <w:szCs w:val="18"/>
      <w:lang w:val="en-US" w:eastAsia="zh-CN" w:bidi="ar-SA"/>
    </w:rPr>
  </w:style>
  <w:style w:type="paragraph" w:styleId="1">
    <w:name w:val="heading 1"/>
    <w:qFormat/>
    <w:basedOn w:val="15"/>
    <w:next w:val="0"/>
    <w:link w:val="1Char"/>
    <w:pPr>
      <w:snapToGrid w:val="0"/>
      <w:spacing w:before="0" w:after="0" w:line="680" w:lineRule="exact"/>
      <w:ind w:firstLineChars="0" w:firstLine="0"/>
      <w:outlineLvl w:val="0"/>
    </w:pPr>
    <w:rPr>
      <w:rFonts w:ascii="Times New Roman" w:eastAsia="方正小标宋简体" w:hAnsi="Times New Roman"/>
      <w:b w:val="0"/>
      <w:kern w:val="44"/>
      <w:sz w:val="44"/>
    </w:rPr>
  </w:style>
  <w:style w:type="character" w:customStyle="1" w:styleId="1Char">
    <w:name w:val="heading 1 Char"/>
    <w:basedOn w:val="15Char"/>
    <w:link w:val="1"/>
    <w:rPr>
      <w:rFonts w:ascii="Times New Roman" w:eastAsia="方正小标宋简体" w:hAnsi="Times New Roman"/>
      <w:b w:val="0"/>
      <w:kern w:val="44"/>
      <w:sz w:val="44"/>
    </w:rPr>
  </w:style>
  <w:style w:type="paragraph" w:styleId="2">
    <w:name w:val="heading 2"/>
    <w:qFormat/>
    <w:basedOn w:val="0"/>
    <w:next w:val="0"/>
    <w:link w:val="2Char"/>
    <w:pPr>
      <w:outlineLvl w:val="1"/>
    </w:pPr>
    <w:rPr>
      <w:rFonts w:eastAsia="黑体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Times New Roman" w:hAnsi="Times New Roman"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outlineLvl w:val="2"/>
    </w:pPr>
    <w:rPr>
      <w:rFonts w:eastAsia="楷体_GB2312"/>
      <w:szCs w:val="32"/>
    </w:rPr>
  </w:style>
  <w:style w:type="character" w:customStyle="1" w:styleId="3Char">
    <w:name w:val="heading 3 Char"/>
    <w:basedOn w:val="10"/>
    <w:link w:val="3"/>
    <w:rPr>
      <w:rFonts w:ascii="Times New Roman" w:eastAsia="楷体_GB2312" w:cs="Times New Roman" w:hAnsi="Times New Roman"/>
      <w:kern w:val="2"/>
      <w:sz w:val="32"/>
      <w:szCs w:val="32"/>
      <w:lang w:val="en-US" w:eastAsia="zh-CN" w:bidi="ar-SA"/>
    </w:rPr>
  </w:style>
  <w:style w:type="paragraph" w:styleId="4">
    <w:name w:val="heading 4"/>
    <w:qFormat/>
    <w:basedOn w:val="0"/>
    <w:next w:val="0"/>
    <w:link w:val="4Char"/>
    <w:pPr>
      <w:tabs>
        <w:tab w:val="left" w:pos="3780"/>
      </w:tabs>
      <w:outlineLvl w:val="3"/>
    </w:pPr>
    <w:rPr>
      <w:b/>
      <w:szCs w:val="32"/>
    </w:rPr>
  </w:style>
  <w:style w:type="character" w:customStyle="1" w:styleId="4Char">
    <w:name w:val="heading 4 Char"/>
    <w:basedOn w:val="10"/>
    <w:link w:val="4"/>
    <w:rPr>
      <w:rFonts w:ascii="Times New Roman" w:eastAsia="仿宋_GB2312" w:cs="Times New Roman" w:hAnsi="Times New Roman"/>
      <w:b/>
      <w:kern w:val="2"/>
      <w:sz w:val="32"/>
      <w:szCs w:val="32"/>
      <w:lang w:val="en-US" w:eastAsia="zh-CN" w:bidi="ar-SA"/>
    </w:rPr>
  </w:style>
  <w:style w:type="paragraph" w:styleId="5">
    <w:name w:val="heading 5"/>
    <w:qFormat/>
    <w:basedOn w:val="0"/>
    <w:next w:val="0"/>
    <w:link w:val="5Char"/>
    <w:pPr>
      <w:keepNext/>
      <w:keepLines/>
      <w:spacing w:beforeAutospacing="0" w:afterAutospacing="0" w:line="240" w:lineRule="auto"/>
      <w:outlineLvl w:val="4"/>
    </w:pPr>
    <w:rPr>
      <w:rFonts w:ascii="Times New Roman" w:cs="Times New Roman" w:hAnsi="Times New Roman"/>
      <w:b/>
      <w:sz w:val="32"/>
    </w:rPr>
  </w:style>
  <w:style w:type="character" w:customStyle="1" w:styleId="5Char">
    <w:name w:val="heading 5 Char"/>
    <w:basedOn w:val="10"/>
    <w:link w:val="5"/>
    <w:rPr>
      <w:rFonts w:ascii="Times New Roman" w:eastAsia="仿宋_GB2312" w:cs="Times New Roman" w:hAnsi="Times New Roman"/>
      <w:b/>
      <w:kern w:val="2"/>
      <w:sz w:val="32"/>
      <w:szCs w:val="18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Title"/>
    <w:qFormat/>
    <w:basedOn w:val="0"/>
    <w:pPr>
      <w:spacing w:before="240" w:beforeAutospacing="0" w:after="60" w:afterAutospacing="0"/>
      <w:jc w:val="center"/>
      <w:outlineLvl w:val="0"/>
    </w:pPr>
    <w:rPr>
      <w:rFonts w:ascii="Arial" w:hAnsi="Arial"/>
      <w:b/>
      <w:sz w:val="32"/>
    </w:rPr>
  </w:style>
  <w:style w:type="paragraph" w:styleId="16">
    <w:name w:val="Body Text Indent"/>
    <w:qFormat/>
    <w:basedOn w:val="0"/>
    <w:pPr>
      <w:spacing w:after="120"/>
      <w:ind w:left="420"/>
    </w:pPr>
  </w:style>
  <w:style w:type="paragraph" w:styleId="17">
    <w:name w:val="Date"/>
    <w:qFormat/>
    <w:basedOn w:val="0"/>
    <w:next w:val="0"/>
    <w:pPr>
      <w:tabs>
        <w:tab w:val="left" w:pos="3514"/>
      </w:tabs>
      <w:wordWrap w:val="0"/>
      <w:jc w:val="right"/>
    </w:pPr>
    <w:rPr>
      <w:szCs w:val="32"/>
    </w:rPr>
  </w:style>
  <w:style w:type="paragraph" w:styleId="18">
    <w:name w:val="Balloon Text"/>
    <w:qFormat/>
    <w:basedOn w:val="0"/>
    <w:rPr>
      <w:sz w:val="18"/>
      <w:szCs w:val="18"/>
    </w:rPr>
  </w:style>
  <w:style w:type="paragraph" w:styleId="19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HTML Preformatted"/>
    <w:qFormat/>
    <w:basedOn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cs="宋体" w:hAnsi="宋体"/>
      <w:kern w:val="0"/>
      <w:sz w:val="24"/>
      <w:szCs w:val="24"/>
      <w:lang w:val="en-US" w:eastAsia="zh-CN"/>
    </w:rPr>
  </w:style>
  <w:style w:type="paragraph" w:styleId="22">
    <w:name w:val="Body Text First Indent 2"/>
    <w:qFormat/>
    <w:basedOn w:val="16"/>
    <w:pPr>
      <w:spacing w:before="0" w:after="120"/>
      <w:ind w:leftChars="200" w:left="200" w:firstLineChars="200" w:firstLine="200"/>
    </w:pPr>
    <w:rPr>
      <w:rFonts w:ascii="Arial" w:eastAsia="仿宋_GB2312" w:hAnsi="Arial"/>
      <w:sz w:val="32"/>
    </w:rPr>
  </w:style>
  <w:style w:type="character" w:styleId="23">
    <w:name w:val="page number"/>
    <w:qFormat/>
    <w:basedOn w:val="10"/>
  </w:style>
  <w:style w:type="character" w:styleId="24">
    <w:name w:val="Hyperlink"/>
    <w:qFormat/>
    <w:rPr>
      <w:color w:val="0000FF"/>
      <w:u w:val="single"/>
    </w:rPr>
  </w:style>
  <w:style w:type="paragraph" w:customStyle="1" w:yozoId="4094" w:styleId="25">
    <w:name w:val="公文样式"/>
    <w:qFormat/>
    <w:basedOn w:val="0"/>
    <w:rPr>
      <w:rFonts w:ascii="Times New Roman" w:hAnsi="Times New Roman"/>
    </w:rPr>
  </w:style>
  <w:style w:type="character" w:customStyle="1" w:yozoId="4094" w:styleId="26">
    <w:name w:val="font51"/>
    <w:qFormat/>
    <w:basedOn w:val="10"/>
    <w:rPr>
      <w:rFonts w:ascii="Wingdings 2" w:eastAsia="Wingdings 2" w:cs="Wingdings 2" w:hAnsi="Wingdings 2"/>
      <w:color w:val="000000"/>
      <w:sz w:val="22"/>
      <w:szCs w:val="22"/>
      <w:u w:val="none"/>
      <w:lang w:bidi="ar-SA"/>
    </w:rPr>
  </w:style>
  <w:style w:type="character" w:customStyle="1" w:yozoId="4094" w:styleId="27">
    <w:name w:val="font71"/>
    <w:qFormat/>
    <w:basedOn w:val="10"/>
    <w:rPr>
      <w:rFonts w:ascii="仿宋_GB2312" w:eastAsia="仿宋_GB2312" w:cs="仿宋_GB2312"/>
      <w:color w:val="000000"/>
      <w:sz w:val="22"/>
      <w:szCs w:val="22"/>
      <w:u w:val="none"/>
      <w:lang w:bidi="ar-SA"/>
    </w:rPr>
  </w:style>
  <w:style w:type="character" w:customStyle="1" w:yozoId="4094" w:styleId="28">
    <w:name w:val="font41"/>
    <w:qFormat/>
    <w:basedOn w:val="10"/>
    <w:rPr>
      <w:rFonts w:ascii="仿宋_GB2312" w:eastAsia="仿宋_GB2312" w:cs="仿宋_GB2312"/>
      <w:color w:val="000000"/>
      <w:sz w:val="22"/>
      <w:szCs w:val="22"/>
      <w:u w:val="none"/>
      <w:lang w:bidi="ar-SA"/>
    </w:rPr>
  </w:style>
  <w:style w:type="paragraph" w:customStyle="1" w:yozoId="4094" w:styleId="29">
    <w:name w:val="报告正文"/>
    <w:qFormat/>
    <w:basedOn w:val="0"/>
    <w:pPr>
      <w:jc w:val="center"/>
    </w:pPr>
    <w:rPr>
      <w:rFonts w:ascii="方正小标宋简体" w:eastAsia="方正小标宋简体" w:cs="宋体" w:hAnsi="Calibri"/>
      <w:b/>
      <w:bCs/>
      <w:sz w:val="36"/>
      <w:szCs w:val="4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2700" cmpd="sng" cap="flat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sx="100000" sy="100000" algn="ctr" rotWithShape="0" blurRad="101600" dist="50800" dir="540000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31545FFB-86BD-4CF9-A1D6-03E0D0B56137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24</TotalTime>
  <Application>WPS_Yozo_Office9.0.7057.181ZH.S1</Application>
  <Pages>10</Pages>
  <Words>0</Words>
  <Characters>3204</Characters>
  <Lines>0</Lines>
  <Paragraphs>79</Paragraphs>
  <CharactersWithSpaces>4273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罗欣琪</dc:creator>
  <cp:lastModifiedBy>ht706</cp:lastModifiedBy>
  <cp:revision>14</cp:revision>
  <dcterms:created xsi:type="dcterms:W3CDTF">2024-10-15T02:10:00Z</dcterms:created>
  <dcterms:modified xsi:type="dcterms:W3CDTF">2026-08-26T11:30:20Z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2052-12.1.0.28043</vt:lpwstr>
  </property>
  <property fmtid="{D5CDD505-2E9C-101B-9397-08002B2CF9AE}" pid="3" name="ICV">
    <vt:lpwstr>BC0AE88D8A7D47729E24C41C2466EFB9_13</vt:lpwstr>
  </property>
  <property fmtid="{D5CDD505-2E9C-101B-9397-08002B2CF9AE}" pid="4" name="KSOTemplateDocerSaveRecord">
    <vt:lpwstr>eyJoZGlkIjoiOWZjZDlmOGJlOGIwNDg2OTM5NGI3MDZmY2M5MjdhZmYiLCJ1c2VySWQiOiIxNDcyNDQxNzQzIn0=</vt:lpwstr>
  </property>
</Properties>
</file>